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B162" w14:textId="48E7F526" w:rsidR="00E203C2" w:rsidRDefault="00E203C2" w:rsidP="00E203C2">
      <w:r>
        <w:rPr>
          <w:noProof/>
          <w:lang w:eastAsia="en-GB" w:bidi="ar-SA"/>
        </w:rPr>
        <w:drawing>
          <wp:inline distT="0" distB="0" distL="0" distR="0" wp14:anchorId="702AB902" wp14:editId="05B4975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4DAC2BD" w14:textId="77777777" w:rsidR="00E203C2" w:rsidRDefault="00E203C2" w:rsidP="00E203C2"/>
    <w:p w14:paraId="776D80BB" w14:textId="335F3827" w:rsidR="00CA641D" w:rsidRPr="00E54330" w:rsidRDefault="00E54330" w:rsidP="00CA641D">
      <w:pPr>
        <w:rPr>
          <w:b/>
          <w:sz w:val="28"/>
          <w:szCs w:val="28"/>
        </w:rPr>
      </w:pPr>
      <w:r w:rsidRPr="00E54330">
        <w:rPr>
          <w:b/>
          <w:sz w:val="28"/>
          <w:szCs w:val="28"/>
        </w:rPr>
        <w:t>6 July 2023</w:t>
      </w:r>
    </w:p>
    <w:p w14:paraId="3EF08F5A" w14:textId="19859B2E" w:rsidR="00CA641D" w:rsidRPr="00E54330" w:rsidRDefault="00E54330" w:rsidP="00CA641D">
      <w:pPr>
        <w:rPr>
          <w:b/>
          <w:sz w:val="28"/>
          <w:szCs w:val="28"/>
        </w:rPr>
      </w:pPr>
      <w:r w:rsidRPr="00E54330">
        <w:rPr>
          <w:b/>
          <w:sz w:val="28"/>
          <w:szCs w:val="28"/>
        </w:rPr>
        <w:t>250-23</w:t>
      </w:r>
    </w:p>
    <w:p w14:paraId="2DB84EA2" w14:textId="77777777" w:rsidR="0057615C" w:rsidRPr="0057615C" w:rsidRDefault="0057615C" w:rsidP="00690206">
      <w:pPr>
        <w:pStyle w:val="FSTitle"/>
        <w:rPr>
          <w:b/>
          <w:sz w:val="22"/>
        </w:rPr>
      </w:pPr>
    </w:p>
    <w:p w14:paraId="12AD55A6" w14:textId="76681F94" w:rsidR="00092CDA" w:rsidRPr="00933088" w:rsidRDefault="00092CDA" w:rsidP="00690206">
      <w:pPr>
        <w:pStyle w:val="FSTitle"/>
        <w:rPr>
          <w:b/>
        </w:rPr>
      </w:pPr>
      <w:r w:rsidRPr="00933088">
        <w:rPr>
          <w:b/>
        </w:rPr>
        <w:t>S</w:t>
      </w:r>
      <w:r w:rsidR="00B12F1E" w:rsidRPr="00933088">
        <w:rPr>
          <w:b/>
        </w:rPr>
        <w:t>upporting document</w:t>
      </w:r>
      <w:r w:rsidRPr="00933088">
        <w:rPr>
          <w:b/>
        </w:rPr>
        <w:t xml:space="preserve"> </w:t>
      </w:r>
      <w:r w:rsidR="00304999" w:rsidRPr="00933088">
        <w:rPr>
          <w:b/>
        </w:rPr>
        <w:t>2</w:t>
      </w:r>
    </w:p>
    <w:p w14:paraId="1EBB8F02" w14:textId="77777777" w:rsidR="00BA24E2" w:rsidRPr="00933088" w:rsidRDefault="00BA24E2" w:rsidP="00E203C2"/>
    <w:p w14:paraId="29B7ABA4" w14:textId="4D1304A6" w:rsidR="00E203C2" w:rsidRPr="00933088" w:rsidRDefault="00ED53A8" w:rsidP="00690206">
      <w:pPr>
        <w:rPr>
          <w:rFonts w:cs="Tahoma"/>
          <w:bCs/>
          <w:sz w:val="32"/>
        </w:rPr>
      </w:pPr>
      <w:r w:rsidRPr="00933088">
        <w:rPr>
          <w:rFonts w:cs="Tahoma"/>
          <w:bCs/>
          <w:sz w:val="32"/>
        </w:rPr>
        <w:t>Harmonisation of marine biotoxins standards for bivalve shellfish – Application A1243</w:t>
      </w:r>
    </w:p>
    <w:p w14:paraId="70419120" w14:textId="77777777" w:rsidR="00E203C2" w:rsidRPr="00B37BF0" w:rsidRDefault="00E203C2" w:rsidP="00E203C2">
      <w:pPr>
        <w:pBdr>
          <w:bottom w:val="single" w:sz="12" w:space="1" w:color="auto"/>
        </w:pBdr>
        <w:spacing w:line="280" w:lineRule="exact"/>
        <w:rPr>
          <w:rFonts w:cs="Arial"/>
          <w:bCs/>
        </w:rPr>
      </w:pPr>
    </w:p>
    <w:p w14:paraId="1E696B6B" w14:textId="77777777" w:rsidR="00E203C2" w:rsidRPr="00B37BF0" w:rsidRDefault="00E203C2" w:rsidP="00E203C2"/>
    <w:p w14:paraId="4D4AA5D6" w14:textId="77777777" w:rsidR="00092CDA" w:rsidRPr="00092CDA" w:rsidRDefault="00092CDA" w:rsidP="00ED53A8">
      <w:pPr>
        <w:pStyle w:val="FSCh1Chap"/>
      </w:pPr>
      <w:bookmarkStart w:id="0" w:name="_Toc286391001"/>
      <w:bookmarkStart w:id="1" w:name="_Toc300933414"/>
      <w:bookmarkStart w:id="2" w:name="_Toc139031127"/>
      <w:r w:rsidRPr="00092CDA">
        <w:t xml:space="preserve">Executive </w:t>
      </w:r>
      <w:r w:rsidR="00B12F1E">
        <w:t>s</w:t>
      </w:r>
      <w:r w:rsidRPr="00092CDA">
        <w:t>ummary</w:t>
      </w:r>
      <w:bookmarkEnd w:id="0"/>
      <w:bookmarkEnd w:id="1"/>
      <w:bookmarkEnd w:id="2"/>
    </w:p>
    <w:p w14:paraId="57A4501B" w14:textId="338CF083" w:rsidR="008425DD" w:rsidRDefault="008425DD" w:rsidP="008425DD">
      <w:pPr>
        <w:rPr>
          <w:lang w:bidi="ar-SA"/>
        </w:rPr>
      </w:pPr>
      <w:r w:rsidRPr="14799A90">
        <w:rPr>
          <w:lang w:bidi="ar-SA"/>
        </w:rPr>
        <w:t xml:space="preserve">Food Standards Australia New Zealand (FSANZ) has assessed an </w:t>
      </w:r>
      <w:r w:rsidR="006F7330" w:rsidRPr="14799A90">
        <w:rPr>
          <w:lang w:bidi="ar-SA"/>
        </w:rPr>
        <w:t xml:space="preserve">application </w:t>
      </w:r>
      <w:r w:rsidRPr="14799A90">
        <w:rPr>
          <w:lang w:bidi="ar-SA"/>
        </w:rPr>
        <w:t>made by SafeFish on behalf of the Australian Shellfish Quality Assurance Advisory Committee (ASQAAC) seeking to amend the Australia New Zealand Food Standards Code to change the current maximum levels in Schedule 19  of the Code for two marine biotoxins in bivalve shellfish (molluscs).</w:t>
      </w:r>
    </w:p>
    <w:p w14:paraId="66824DFF" w14:textId="77777777" w:rsidR="008425DD" w:rsidRDefault="008425DD" w:rsidP="008425DD">
      <w:pPr>
        <w:rPr>
          <w:lang w:bidi="ar-SA"/>
        </w:rPr>
      </w:pPr>
    </w:p>
    <w:p w14:paraId="7641D1FD" w14:textId="045C6F50" w:rsidR="008425DD" w:rsidRDefault="008425DD" w:rsidP="008425DD">
      <w:r>
        <w:t xml:space="preserve">If </w:t>
      </w:r>
      <w:r w:rsidR="00053D20">
        <w:t>approved</w:t>
      </w:r>
      <w:r>
        <w:t xml:space="preserve">, the </w:t>
      </w:r>
      <w:r w:rsidR="00F520E9">
        <w:t>proposed amendments</w:t>
      </w:r>
      <w:r w:rsidR="006F7330">
        <w:t xml:space="preserve"> </w:t>
      </w:r>
      <w:r>
        <w:t xml:space="preserve">would align </w:t>
      </w:r>
      <w:r w:rsidR="006F7330">
        <w:t xml:space="preserve">the shellfish biotoxins </w:t>
      </w:r>
      <w:r>
        <w:t xml:space="preserve">diarrhetic </w:t>
      </w:r>
      <w:r w:rsidR="006F7330">
        <w:t xml:space="preserve">shellfish toxins </w:t>
      </w:r>
      <w:r>
        <w:t xml:space="preserve">(DST) and paralytic </w:t>
      </w:r>
      <w:r w:rsidR="006F7330">
        <w:t xml:space="preserve">shellfish toxins </w:t>
      </w:r>
      <w:r>
        <w:t>(PST) maximum levels for bivalve molluscs in Schedule 19 of the Code with the levels stated in both:</w:t>
      </w:r>
    </w:p>
    <w:p w14:paraId="5621DFA7" w14:textId="2B0F9CE7" w:rsidR="008425DD" w:rsidRDefault="008425DD" w:rsidP="008425DD">
      <w:pPr>
        <w:pStyle w:val="FSBullet1"/>
      </w:pPr>
      <w:r>
        <w:t>Codex Standard CAC 292-2008 Standard for Live and Raw Bivalve Molluscs</w:t>
      </w:r>
      <w:r w:rsidR="00CF2D83">
        <w:t>,</w:t>
      </w:r>
      <w:r>
        <w:t xml:space="preserve"> and the</w:t>
      </w:r>
    </w:p>
    <w:p w14:paraId="6C8DF689" w14:textId="77777777" w:rsidR="008425DD" w:rsidRDefault="008425DD" w:rsidP="008425DD">
      <w:pPr>
        <w:pStyle w:val="FSBullet1"/>
      </w:pPr>
      <w:r>
        <w:t>New Zealand Regulated Control Scheme - Bivalve Molluscan Shellfish for Human Consumption.</w:t>
      </w:r>
    </w:p>
    <w:p w14:paraId="55A1FB0B" w14:textId="77777777" w:rsidR="008425DD" w:rsidRDefault="008425DD" w:rsidP="008425DD">
      <w:pPr>
        <w:rPr>
          <w:lang w:bidi="ar-SA"/>
        </w:rPr>
      </w:pPr>
    </w:p>
    <w:p w14:paraId="2D01C257" w14:textId="692710A6" w:rsidR="008425DD" w:rsidRDefault="008425DD" w:rsidP="008425DD">
      <w:pPr>
        <w:rPr>
          <w:lang w:bidi="ar-SA"/>
        </w:rPr>
      </w:pPr>
      <w:r>
        <w:rPr>
          <w:lang w:bidi="ar-SA"/>
        </w:rPr>
        <w:t xml:space="preserve">In assessing the </w:t>
      </w:r>
      <w:r w:rsidR="006F7330">
        <w:rPr>
          <w:lang w:bidi="ar-SA"/>
        </w:rPr>
        <w:t>a</w:t>
      </w:r>
      <w:r>
        <w:rPr>
          <w:lang w:bidi="ar-SA"/>
        </w:rPr>
        <w:t xml:space="preserve">pplication, FSANZ must have regard to </w:t>
      </w:r>
      <w:r w:rsidRPr="00ED53A8">
        <w:t>whether costs that arise from a food regulatory measure varied as a result of the application outweigh the benefits</w:t>
      </w:r>
      <w:r>
        <w:t>.</w:t>
      </w:r>
      <w:r w:rsidRPr="008425DD">
        <w:rPr>
          <w:lang w:bidi="ar-SA"/>
        </w:rPr>
        <w:t xml:space="preserve"> </w:t>
      </w:r>
      <w:r>
        <w:rPr>
          <w:lang w:bidi="ar-SA"/>
        </w:rPr>
        <w:t>This Supporting Document analyses the costs and benefits of the application.</w:t>
      </w:r>
    </w:p>
    <w:p w14:paraId="53D57885" w14:textId="77777777" w:rsidR="008425DD" w:rsidRDefault="008425DD" w:rsidP="008425DD"/>
    <w:p w14:paraId="49F96376" w14:textId="5B15D996" w:rsidR="008425DD" w:rsidRDefault="008425DD" w:rsidP="008425DD">
      <w:r>
        <w:t xml:space="preserve">FSANZ has concluded there is likely to be a net benefit </w:t>
      </w:r>
      <w:r w:rsidR="003F5FF6">
        <w:t>to accepting the application</w:t>
      </w:r>
      <w:r>
        <w:t xml:space="preserve">, that the </w:t>
      </w:r>
      <w:r w:rsidR="0075700B">
        <w:t xml:space="preserve">benefits of </w:t>
      </w:r>
      <w:r>
        <w:t xml:space="preserve">increased harmonisation </w:t>
      </w:r>
      <w:r w:rsidR="001074F9">
        <w:t xml:space="preserve">would </w:t>
      </w:r>
      <w:r>
        <w:t xml:space="preserve">outweigh </w:t>
      </w:r>
      <w:bookmarkStart w:id="3" w:name="_Hlk137639925"/>
      <w:r>
        <w:t>the</w:t>
      </w:r>
      <w:r w:rsidR="0075700B">
        <w:t xml:space="preserve"> cost </w:t>
      </w:r>
      <w:r w:rsidR="00527679">
        <w:t xml:space="preserve">associated with the potential for </w:t>
      </w:r>
      <w:r>
        <w:t>more frequent</w:t>
      </w:r>
      <w:r w:rsidR="00AB102B">
        <w:t xml:space="preserve"> fishery</w:t>
      </w:r>
      <w:r>
        <w:t xml:space="preserve"> closures</w:t>
      </w:r>
      <w:bookmarkEnd w:id="3"/>
      <w:r>
        <w:t>.</w:t>
      </w:r>
    </w:p>
    <w:p w14:paraId="0D022373" w14:textId="77777777" w:rsidR="00092CDA" w:rsidRDefault="00092CDA" w:rsidP="00690206"/>
    <w:p w14:paraId="2616A8BA" w14:textId="77777777" w:rsidR="00092CDA" w:rsidRDefault="00092CDA" w:rsidP="00690206">
      <w:pPr>
        <w:sectPr w:rsidR="00092CDA" w:rsidSect="0054272D">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pgNumType w:fmt="lowerRoman" w:start="1"/>
          <w:cols w:space="708"/>
          <w:docGrid w:linePitch="360"/>
        </w:sectPr>
      </w:pPr>
    </w:p>
    <w:p w14:paraId="4E53B904" w14:textId="77777777" w:rsidR="00562917" w:rsidRPr="00D9620E" w:rsidRDefault="00562917" w:rsidP="00ED53A8">
      <w:pPr>
        <w:pStyle w:val="FSCh2Part"/>
      </w:pPr>
      <w:bookmarkStart w:id="4" w:name="_Toc139031128"/>
      <w:r w:rsidRPr="00D9620E">
        <w:lastRenderedPageBreak/>
        <w:t xml:space="preserve">Table of </w:t>
      </w:r>
      <w:r w:rsidR="00A77BFA" w:rsidRPr="00D9620E">
        <w:t>c</w:t>
      </w:r>
      <w:r w:rsidRPr="00D9620E">
        <w:t>ontents</w:t>
      </w:r>
      <w:bookmarkEnd w:id="4"/>
    </w:p>
    <w:p w14:paraId="404A51C1" w14:textId="42BC3964" w:rsidR="00200E1B" w:rsidRDefault="00326D85">
      <w:pPr>
        <w:pStyle w:val="TOC1"/>
        <w:rPr>
          <w:rFonts w:eastAsiaTheme="minorEastAsia" w:cstheme="minorBidi"/>
          <w:b w:val="0"/>
          <w:bCs w:val="0"/>
          <w:caps w:val="0"/>
          <w:noProof/>
          <w:sz w:val="22"/>
          <w:szCs w:val="22"/>
          <w:lang w:val="en-NZ" w:eastAsia="en-NZ" w:bidi="ar-SA"/>
        </w:rPr>
      </w:pPr>
      <w:r>
        <w:fldChar w:fldCharType="begin"/>
      </w:r>
      <w:r>
        <w:instrText xml:space="preserve"> TOC \o "1-3" \h \z \u </w:instrText>
      </w:r>
      <w:r>
        <w:fldChar w:fldCharType="separate"/>
      </w:r>
      <w:hyperlink w:anchor="_Toc139031127" w:history="1">
        <w:r w:rsidR="00200E1B" w:rsidRPr="000E19BB">
          <w:rPr>
            <w:rStyle w:val="Hyperlink"/>
            <w:noProof/>
          </w:rPr>
          <w:t>Executive summary</w:t>
        </w:r>
        <w:r w:rsidR="00200E1B">
          <w:rPr>
            <w:noProof/>
            <w:webHidden/>
          </w:rPr>
          <w:tab/>
        </w:r>
        <w:r w:rsidR="00200E1B">
          <w:rPr>
            <w:noProof/>
            <w:webHidden/>
          </w:rPr>
          <w:fldChar w:fldCharType="begin"/>
        </w:r>
        <w:r w:rsidR="00200E1B">
          <w:rPr>
            <w:noProof/>
            <w:webHidden/>
          </w:rPr>
          <w:instrText xml:space="preserve"> PAGEREF _Toc139031127 \h </w:instrText>
        </w:r>
        <w:r w:rsidR="00200E1B">
          <w:rPr>
            <w:noProof/>
            <w:webHidden/>
          </w:rPr>
        </w:r>
        <w:r w:rsidR="00200E1B">
          <w:rPr>
            <w:noProof/>
            <w:webHidden/>
          </w:rPr>
          <w:fldChar w:fldCharType="separate"/>
        </w:r>
        <w:r w:rsidR="00B77F3A">
          <w:rPr>
            <w:noProof/>
            <w:webHidden/>
          </w:rPr>
          <w:t>i</w:t>
        </w:r>
        <w:r w:rsidR="00200E1B">
          <w:rPr>
            <w:noProof/>
            <w:webHidden/>
          </w:rPr>
          <w:fldChar w:fldCharType="end"/>
        </w:r>
      </w:hyperlink>
    </w:p>
    <w:p w14:paraId="7E2F41EF" w14:textId="2588C38B" w:rsidR="00200E1B" w:rsidRDefault="00B77F3A">
      <w:pPr>
        <w:pStyle w:val="TOC2"/>
        <w:rPr>
          <w:rFonts w:eastAsiaTheme="minorEastAsia" w:cstheme="minorBidi"/>
          <w:smallCaps w:val="0"/>
          <w:noProof/>
          <w:sz w:val="22"/>
          <w:szCs w:val="22"/>
          <w:lang w:val="en-NZ" w:eastAsia="en-NZ" w:bidi="ar-SA"/>
        </w:rPr>
      </w:pPr>
      <w:hyperlink w:anchor="_Toc139031128" w:history="1">
        <w:r w:rsidR="00200E1B" w:rsidRPr="000E19BB">
          <w:rPr>
            <w:rStyle w:val="Hyperlink"/>
            <w:noProof/>
          </w:rPr>
          <w:t>Table of contents</w:t>
        </w:r>
        <w:r w:rsidR="00200E1B">
          <w:rPr>
            <w:noProof/>
            <w:webHidden/>
          </w:rPr>
          <w:tab/>
        </w:r>
        <w:r w:rsidR="00200E1B">
          <w:rPr>
            <w:noProof/>
            <w:webHidden/>
          </w:rPr>
          <w:fldChar w:fldCharType="begin"/>
        </w:r>
        <w:r w:rsidR="00200E1B">
          <w:rPr>
            <w:noProof/>
            <w:webHidden/>
          </w:rPr>
          <w:instrText xml:space="preserve"> PAGEREF _Toc139031128 \h </w:instrText>
        </w:r>
        <w:r w:rsidR="00200E1B">
          <w:rPr>
            <w:noProof/>
            <w:webHidden/>
          </w:rPr>
        </w:r>
        <w:r w:rsidR="00200E1B">
          <w:rPr>
            <w:noProof/>
            <w:webHidden/>
          </w:rPr>
          <w:fldChar w:fldCharType="separate"/>
        </w:r>
        <w:r>
          <w:rPr>
            <w:noProof/>
            <w:webHidden/>
          </w:rPr>
          <w:t>1</w:t>
        </w:r>
        <w:r w:rsidR="00200E1B">
          <w:rPr>
            <w:noProof/>
            <w:webHidden/>
          </w:rPr>
          <w:fldChar w:fldCharType="end"/>
        </w:r>
      </w:hyperlink>
    </w:p>
    <w:p w14:paraId="76017272" w14:textId="60E1642D" w:rsidR="00200E1B" w:rsidRDefault="00B77F3A">
      <w:pPr>
        <w:pStyle w:val="TOC1"/>
        <w:tabs>
          <w:tab w:val="left" w:pos="440"/>
        </w:tabs>
        <w:rPr>
          <w:rFonts w:eastAsiaTheme="minorEastAsia" w:cstheme="minorBidi"/>
          <w:b w:val="0"/>
          <w:bCs w:val="0"/>
          <w:caps w:val="0"/>
          <w:noProof/>
          <w:sz w:val="22"/>
          <w:szCs w:val="22"/>
          <w:lang w:val="en-NZ" w:eastAsia="en-NZ" w:bidi="ar-SA"/>
        </w:rPr>
      </w:pPr>
      <w:hyperlink w:anchor="_Toc139031129" w:history="1">
        <w:r w:rsidR="00200E1B" w:rsidRPr="000E19BB">
          <w:rPr>
            <w:rStyle w:val="Hyperlink"/>
            <w:noProof/>
          </w:rPr>
          <w:t>1</w:t>
        </w:r>
        <w:r w:rsidR="00200E1B">
          <w:rPr>
            <w:rFonts w:eastAsiaTheme="minorEastAsia" w:cstheme="minorBidi"/>
            <w:b w:val="0"/>
            <w:bCs w:val="0"/>
            <w:caps w:val="0"/>
            <w:noProof/>
            <w:sz w:val="22"/>
            <w:szCs w:val="22"/>
            <w:lang w:val="en-NZ" w:eastAsia="en-NZ" w:bidi="ar-SA"/>
          </w:rPr>
          <w:tab/>
        </w:r>
        <w:r w:rsidR="00200E1B" w:rsidRPr="000E19BB">
          <w:rPr>
            <w:rStyle w:val="Hyperlink"/>
            <w:noProof/>
          </w:rPr>
          <w:t>Introduction</w:t>
        </w:r>
        <w:r w:rsidR="00200E1B">
          <w:rPr>
            <w:noProof/>
            <w:webHidden/>
          </w:rPr>
          <w:tab/>
        </w:r>
        <w:r w:rsidR="00200E1B">
          <w:rPr>
            <w:noProof/>
            <w:webHidden/>
          </w:rPr>
          <w:fldChar w:fldCharType="begin"/>
        </w:r>
        <w:r w:rsidR="00200E1B">
          <w:rPr>
            <w:noProof/>
            <w:webHidden/>
          </w:rPr>
          <w:instrText xml:space="preserve"> PAGEREF _Toc139031129 \h </w:instrText>
        </w:r>
        <w:r w:rsidR="00200E1B">
          <w:rPr>
            <w:noProof/>
            <w:webHidden/>
          </w:rPr>
        </w:r>
        <w:r w:rsidR="00200E1B">
          <w:rPr>
            <w:noProof/>
            <w:webHidden/>
          </w:rPr>
          <w:fldChar w:fldCharType="separate"/>
        </w:r>
        <w:r>
          <w:rPr>
            <w:noProof/>
            <w:webHidden/>
          </w:rPr>
          <w:t>2</w:t>
        </w:r>
        <w:r w:rsidR="00200E1B">
          <w:rPr>
            <w:noProof/>
            <w:webHidden/>
          </w:rPr>
          <w:fldChar w:fldCharType="end"/>
        </w:r>
      </w:hyperlink>
    </w:p>
    <w:p w14:paraId="30906CBC" w14:textId="6E45B6D4" w:rsidR="00200E1B" w:rsidRDefault="00B77F3A">
      <w:pPr>
        <w:pStyle w:val="TOC2"/>
        <w:rPr>
          <w:rFonts w:eastAsiaTheme="minorEastAsia" w:cstheme="minorBidi"/>
          <w:smallCaps w:val="0"/>
          <w:noProof/>
          <w:sz w:val="22"/>
          <w:szCs w:val="22"/>
          <w:lang w:val="en-NZ" w:eastAsia="en-NZ" w:bidi="ar-SA"/>
        </w:rPr>
      </w:pPr>
      <w:hyperlink w:anchor="_Toc139031130" w:history="1">
        <w:r w:rsidR="00200E1B" w:rsidRPr="000E19BB">
          <w:rPr>
            <w:rStyle w:val="Hyperlink"/>
            <w:noProof/>
          </w:rPr>
          <w:t>1.1</w:t>
        </w:r>
        <w:r w:rsidR="00200E1B">
          <w:rPr>
            <w:rFonts w:eastAsiaTheme="minorEastAsia" w:cstheme="minorBidi"/>
            <w:smallCaps w:val="0"/>
            <w:noProof/>
            <w:sz w:val="22"/>
            <w:szCs w:val="22"/>
            <w:lang w:val="en-NZ" w:eastAsia="en-NZ" w:bidi="ar-SA"/>
          </w:rPr>
          <w:tab/>
        </w:r>
        <w:r w:rsidR="00200E1B" w:rsidRPr="000E19BB">
          <w:rPr>
            <w:rStyle w:val="Hyperlink"/>
            <w:noProof/>
          </w:rPr>
          <w:t>FSANZ Act requirements</w:t>
        </w:r>
        <w:r w:rsidR="00200E1B">
          <w:rPr>
            <w:noProof/>
            <w:webHidden/>
          </w:rPr>
          <w:tab/>
        </w:r>
        <w:r w:rsidR="00200E1B">
          <w:rPr>
            <w:noProof/>
            <w:webHidden/>
          </w:rPr>
          <w:fldChar w:fldCharType="begin"/>
        </w:r>
        <w:r w:rsidR="00200E1B">
          <w:rPr>
            <w:noProof/>
            <w:webHidden/>
          </w:rPr>
          <w:instrText xml:space="preserve"> PAGEREF _Toc139031130 \h </w:instrText>
        </w:r>
        <w:r w:rsidR="00200E1B">
          <w:rPr>
            <w:noProof/>
            <w:webHidden/>
          </w:rPr>
        </w:r>
        <w:r w:rsidR="00200E1B">
          <w:rPr>
            <w:noProof/>
            <w:webHidden/>
          </w:rPr>
          <w:fldChar w:fldCharType="separate"/>
        </w:r>
        <w:r>
          <w:rPr>
            <w:noProof/>
            <w:webHidden/>
          </w:rPr>
          <w:t>2</w:t>
        </w:r>
        <w:r w:rsidR="00200E1B">
          <w:rPr>
            <w:noProof/>
            <w:webHidden/>
          </w:rPr>
          <w:fldChar w:fldCharType="end"/>
        </w:r>
      </w:hyperlink>
    </w:p>
    <w:p w14:paraId="2FA842BD" w14:textId="76576596" w:rsidR="00200E1B" w:rsidRDefault="00B77F3A">
      <w:pPr>
        <w:pStyle w:val="TOC2"/>
        <w:rPr>
          <w:rFonts w:eastAsiaTheme="minorEastAsia" w:cstheme="minorBidi"/>
          <w:smallCaps w:val="0"/>
          <w:noProof/>
          <w:sz w:val="22"/>
          <w:szCs w:val="22"/>
          <w:lang w:val="en-NZ" w:eastAsia="en-NZ" w:bidi="ar-SA"/>
        </w:rPr>
      </w:pPr>
      <w:hyperlink w:anchor="_Toc139031131" w:history="1">
        <w:r w:rsidR="00200E1B" w:rsidRPr="000E19BB">
          <w:rPr>
            <w:rStyle w:val="Hyperlink"/>
            <w:noProof/>
          </w:rPr>
          <w:t>1.2</w:t>
        </w:r>
        <w:r w:rsidR="00200E1B">
          <w:rPr>
            <w:rFonts w:eastAsiaTheme="minorEastAsia" w:cstheme="minorBidi"/>
            <w:smallCaps w:val="0"/>
            <w:noProof/>
            <w:sz w:val="22"/>
            <w:szCs w:val="22"/>
            <w:lang w:val="en-NZ" w:eastAsia="en-NZ" w:bidi="ar-SA"/>
          </w:rPr>
          <w:tab/>
        </w:r>
        <w:r w:rsidR="00200E1B" w:rsidRPr="000E19BB">
          <w:rPr>
            <w:rStyle w:val="Hyperlink"/>
            <w:noProof/>
          </w:rPr>
          <w:t>Exemption from developing OIA impact analysis</w:t>
        </w:r>
        <w:r w:rsidR="00200E1B">
          <w:rPr>
            <w:noProof/>
            <w:webHidden/>
          </w:rPr>
          <w:tab/>
        </w:r>
        <w:r w:rsidR="00200E1B">
          <w:rPr>
            <w:noProof/>
            <w:webHidden/>
          </w:rPr>
          <w:fldChar w:fldCharType="begin"/>
        </w:r>
        <w:r w:rsidR="00200E1B">
          <w:rPr>
            <w:noProof/>
            <w:webHidden/>
          </w:rPr>
          <w:instrText xml:space="preserve"> PAGEREF _Toc139031131 \h </w:instrText>
        </w:r>
        <w:r w:rsidR="00200E1B">
          <w:rPr>
            <w:noProof/>
            <w:webHidden/>
          </w:rPr>
        </w:r>
        <w:r w:rsidR="00200E1B">
          <w:rPr>
            <w:noProof/>
            <w:webHidden/>
          </w:rPr>
          <w:fldChar w:fldCharType="separate"/>
        </w:r>
        <w:r>
          <w:rPr>
            <w:noProof/>
            <w:webHidden/>
          </w:rPr>
          <w:t>2</w:t>
        </w:r>
        <w:r w:rsidR="00200E1B">
          <w:rPr>
            <w:noProof/>
            <w:webHidden/>
          </w:rPr>
          <w:fldChar w:fldCharType="end"/>
        </w:r>
      </w:hyperlink>
    </w:p>
    <w:p w14:paraId="6515095A" w14:textId="05FD0159" w:rsidR="00200E1B" w:rsidRDefault="00B77F3A">
      <w:pPr>
        <w:pStyle w:val="TOC1"/>
        <w:tabs>
          <w:tab w:val="left" w:pos="440"/>
        </w:tabs>
        <w:rPr>
          <w:rFonts w:eastAsiaTheme="minorEastAsia" w:cstheme="minorBidi"/>
          <w:b w:val="0"/>
          <w:bCs w:val="0"/>
          <w:caps w:val="0"/>
          <w:noProof/>
          <w:sz w:val="22"/>
          <w:szCs w:val="22"/>
          <w:lang w:val="en-NZ" w:eastAsia="en-NZ" w:bidi="ar-SA"/>
        </w:rPr>
      </w:pPr>
      <w:hyperlink w:anchor="_Toc139031132" w:history="1">
        <w:r w:rsidR="00200E1B" w:rsidRPr="000E19BB">
          <w:rPr>
            <w:rStyle w:val="Hyperlink"/>
            <w:noProof/>
          </w:rPr>
          <w:t>2</w:t>
        </w:r>
        <w:r w:rsidR="00200E1B">
          <w:rPr>
            <w:rFonts w:eastAsiaTheme="minorEastAsia" w:cstheme="minorBidi"/>
            <w:b w:val="0"/>
            <w:bCs w:val="0"/>
            <w:caps w:val="0"/>
            <w:noProof/>
            <w:sz w:val="22"/>
            <w:szCs w:val="22"/>
            <w:lang w:val="en-NZ" w:eastAsia="en-NZ" w:bidi="ar-SA"/>
          </w:rPr>
          <w:tab/>
        </w:r>
        <w:r w:rsidR="00200E1B" w:rsidRPr="000E19BB">
          <w:rPr>
            <w:rStyle w:val="Hyperlink"/>
            <w:noProof/>
          </w:rPr>
          <w:t>Description of the problem</w:t>
        </w:r>
        <w:r w:rsidR="00200E1B">
          <w:rPr>
            <w:noProof/>
            <w:webHidden/>
          </w:rPr>
          <w:tab/>
        </w:r>
        <w:r w:rsidR="00200E1B">
          <w:rPr>
            <w:noProof/>
            <w:webHidden/>
          </w:rPr>
          <w:fldChar w:fldCharType="begin"/>
        </w:r>
        <w:r w:rsidR="00200E1B">
          <w:rPr>
            <w:noProof/>
            <w:webHidden/>
          </w:rPr>
          <w:instrText xml:space="preserve"> PAGEREF _Toc139031132 \h </w:instrText>
        </w:r>
        <w:r w:rsidR="00200E1B">
          <w:rPr>
            <w:noProof/>
            <w:webHidden/>
          </w:rPr>
        </w:r>
        <w:r w:rsidR="00200E1B">
          <w:rPr>
            <w:noProof/>
            <w:webHidden/>
          </w:rPr>
          <w:fldChar w:fldCharType="separate"/>
        </w:r>
        <w:r>
          <w:rPr>
            <w:noProof/>
            <w:webHidden/>
          </w:rPr>
          <w:t>2</w:t>
        </w:r>
        <w:r w:rsidR="00200E1B">
          <w:rPr>
            <w:noProof/>
            <w:webHidden/>
          </w:rPr>
          <w:fldChar w:fldCharType="end"/>
        </w:r>
      </w:hyperlink>
    </w:p>
    <w:p w14:paraId="7314A07A" w14:textId="0F2E6FCB" w:rsidR="00200E1B" w:rsidRDefault="00B77F3A">
      <w:pPr>
        <w:pStyle w:val="TOC1"/>
        <w:tabs>
          <w:tab w:val="left" w:pos="440"/>
        </w:tabs>
        <w:rPr>
          <w:rFonts w:eastAsiaTheme="minorEastAsia" w:cstheme="minorBidi"/>
          <w:b w:val="0"/>
          <w:bCs w:val="0"/>
          <w:caps w:val="0"/>
          <w:noProof/>
          <w:sz w:val="22"/>
          <w:szCs w:val="22"/>
          <w:lang w:val="en-NZ" w:eastAsia="en-NZ" w:bidi="ar-SA"/>
        </w:rPr>
      </w:pPr>
      <w:hyperlink w:anchor="_Toc139031133" w:history="1">
        <w:r w:rsidR="00200E1B" w:rsidRPr="000E19BB">
          <w:rPr>
            <w:rStyle w:val="Hyperlink"/>
            <w:noProof/>
          </w:rPr>
          <w:t>3</w:t>
        </w:r>
        <w:r w:rsidR="00200E1B">
          <w:rPr>
            <w:rFonts w:eastAsiaTheme="minorEastAsia" w:cstheme="minorBidi"/>
            <w:b w:val="0"/>
            <w:bCs w:val="0"/>
            <w:caps w:val="0"/>
            <w:noProof/>
            <w:sz w:val="22"/>
            <w:szCs w:val="22"/>
            <w:lang w:val="en-NZ" w:eastAsia="en-NZ" w:bidi="ar-SA"/>
          </w:rPr>
          <w:tab/>
        </w:r>
        <w:r w:rsidR="00200E1B" w:rsidRPr="000E19BB">
          <w:rPr>
            <w:rStyle w:val="Hyperlink"/>
            <w:noProof/>
          </w:rPr>
          <w:t>Objectives</w:t>
        </w:r>
        <w:r w:rsidR="00200E1B">
          <w:rPr>
            <w:noProof/>
            <w:webHidden/>
          </w:rPr>
          <w:tab/>
        </w:r>
        <w:r w:rsidR="00200E1B">
          <w:rPr>
            <w:noProof/>
            <w:webHidden/>
          </w:rPr>
          <w:fldChar w:fldCharType="begin"/>
        </w:r>
        <w:r w:rsidR="00200E1B">
          <w:rPr>
            <w:noProof/>
            <w:webHidden/>
          </w:rPr>
          <w:instrText xml:space="preserve"> PAGEREF _Toc139031133 \h </w:instrText>
        </w:r>
        <w:r w:rsidR="00200E1B">
          <w:rPr>
            <w:noProof/>
            <w:webHidden/>
          </w:rPr>
        </w:r>
        <w:r w:rsidR="00200E1B">
          <w:rPr>
            <w:noProof/>
            <w:webHidden/>
          </w:rPr>
          <w:fldChar w:fldCharType="separate"/>
        </w:r>
        <w:r>
          <w:rPr>
            <w:noProof/>
            <w:webHidden/>
          </w:rPr>
          <w:t>3</w:t>
        </w:r>
        <w:r w:rsidR="00200E1B">
          <w:rPr>
            <w:noProof/>
            <w:webHidden/>
          </w:rPr>
          <w:fldChar w:fldCharType="end"/>
        </w:r>
      </w:hyperlink>
    </w:p>
    <w:p w14:paraId="795D5FE7" w14:textId="678206B1" w:rsidR="00200E1B" w:rsidRDefault="00B77F3A">
      <w:pPr>
        <w:pStyle w:val="TOC1"/>
        <w:tabs>
          <w:tab w:val="left" w:pos="440"/>
        </w:tabs>
        <w:rPr>
          <w:rFonts w:eastAsiaTheme="minorEastAsia" w:cstheme="minorBidi"/>
          <w:b w:val="0"/>
          <w:bCs w:val="0"/>
          <w:caps w:val="0"/>
          <w:noProof/>
          <w:sz w:val="22"/>
          <w:szCs w:val="22"/>
          <w:lang w:val="en-NZ" w:eastAsia="en-NZ" w:bidi="ar-SA"/>
        </w:rPr>
      </w:pPr>
      <w:hyperlink w:anchor="_Toc139031134" w:history="1">
        <w:r w:rsidR="00200E1B" w:rsidRPr="000E19BB">
          <w:rPr>
            <w:rStyle w:val="Hyperlink"/>
            <w:noProof/>
          </w:rPr>
          <w:t>4</w:t>
        </w:r>
        <w:r w:rsidR="00200E1B">
          <w:rPr>
            <w:rFonts w:eastAsiaTheme="minorEastAsia" w:cstheme="minorBidi"/>
            <w:b w:val="0"/>
            <w:bCs w:val="0"/>
            <w:caps w:val="0"/>
            <w:noProof/>
            <w:sz w:val="22"/>
            <w:szCs w:val="22"/>
            <w:lang w:val="en-NZ" w:eastAsia="en-NZ" w:bidi="ar-SA"/>
          </w:rPr>
          <w:tab/>
        </w:r>
        <w:r w:rsidR="00200E1B" w:rsidRPr="000E19BB">
          <w:rPr>
            <w:rStyle w:val="Hyperlink"/>
            <w:noProof/>
          </w:rPr>
          <w:t>Options considered</w:t>
        </w:r>
        <w:r w:rsidR="00200E1B">
          <w:rPr>
            <w:noProof/>
            <w:webHidden/>
          </w:rPr>
          <w:tab/>
        </w:r>
        <w:r w:rsidR="00200E1B">
          <w:rPr>
            <w:noProof/>
            <w:webHidden/>
          </w:rPr>
          <w:fldChar w:fldCharType="begin"/>
        </w:r>
        <w:r w:rsidR="00200E1B">
          <w:rPr>
            <w:noProof/>
            <w:webHidden/>
          </w:rPr>
          <w:instrText xml:space="preserve"> PAGEREF _Toc139031134 \h </w:instrText>
        </w:r>
        <w:r w:rsidR="00200E1B">
          <w:rPr>
            <w:noProof/>
            <w:webHidden/>
          </w:rPr>
        </w:r>
        <w:r w:rsidR="00200E1B">
          <w:rPr>
            <w:noProof/>
            <w:webHidden/>
          </w:rPr>
          <w:fldChar w:fldCharType="separate"/>
        </w:r>
        <w:r>
          <w:rPr>
            <w:noProof/>
            <w:webHidden/>
          </w:rPr>
          <w:t>3</w:t>
        </w:r>
        <w:r w:rsidR="00200E1B">
          <w:rPr>
            <w:noProof/>
            <w:webHidden/>
          </w:rPr>
          <w:fldChar w:fldCharType="end"/>
        </w:r>
      </w:hyperlink>
    </w:p>
    <w:p w14:paraId="0E351D3A" w14:textId="11FEC065" w:rsidR="00200E1B" w:rsidRDefault="00B77F3A">
      <w:pPr>
        <w:pStyle w:val="TOC2"/>
        <w:rPr>
          <w:rFonts w:eastAsiaTheme="minorEastAsia" w:cstheme="minorBidi"/>
          <w:smallCaps w:val="0"/>
          <w:noProof/>
          <w:sz w:val="22"/>
          <w:szCs w:val="22"/>
          <w:lang w:val="en-NZ" w:eastAsia="en-NZ" w:bidi="ar-SA"/>
        </w:rPr>
      </w:pPr>
      <w:hyperlink w:anchor="_Toc139031135" w:history="1">
        <w:r w:rsidR="00200E1B" w:rsidRPr="000E19BB">
          <w:rPr>
            <w:rStyle w:val="Hyperlink"/>
            <w:noProof/>
          </w:rPr>
          <w:t>4.1</w:t>
        </w:r>
        <w:r w:rsidR="00200E1B">
          <w:rPr>
            <w:rFonts w:eastAsiaTheme="minorEastAsia" w:cstheme="minorBidi"/>
            <w:smallCaps w:val="0"/>
            <w:noProof/>
            <w:sz w:val="22"/>
            <w:szCs w:val="22"/>
            <w:lang w:val="en-NZ" w:eastAsia="en-NZ" w:bidi="ar-SA"/>
          </w:rPr>
          <w:tab/>
        </w:r>
        <w:r w:rsidR="00200E1B" w:rsidRPr="000E19BB">
          <w:rPr>
            <w:rStyle w:val="Hyperlink"/>
            <w:noProof/>
          </w:rPr>
          <w:t>Option 1 – Maintain the status quo</w:t>
        </w:r>
        <w:r w:rsidR="00200E1B">
          <w:rPr>
            <w:noProof/>
            <w:webHidden/>
          </w:rPr>
          <w:tab/>
        </w:r>
        <w:r w:rsidR="00200E1B">
          <w:rPr>
            <w:noProof/>
            <w:webHidden/>
          </w:rPr>
          <w:fldChar w:fldCharType="begin"/>
        </w:r>
        <w:r w:rsidR="00200E1B">
          <w:rPr>
            <w:noProof/>
            <w:webHidden/>
          </w:rPr>
          <w:instrText xml:space="preserve"> PAGEREF _Toc139031135 \h </w:instrText>
        </w:r>
        <w:r w:rsidR="00200E1B">
          <w:rPr>
            <w:noProof/>
            <w:webHidden/>
          </w:rPr>
        </w:r>
        <w:r w:rsidR="00200E1B">
          <w:rPr>
            <w:noProof/>
            <w:webHidden/>
          </w:rPr>
          <w:fldChar w:fldCharType="separate"/>
        </w:r>
        <w:r>
          <w:rPr>
            <w:noProof/>
            <w:webHidden/>
          </w:rPr>
          <w:t>3</w:t>
        </w:r>
        <w:r w:rsidR="00200E1B">
          <w:rPr>
            <w:noProof/>
            <w:webHidden/>
          </w:rPr>
          <w:fldChar w:fldCharType="end"/>
        </w:r>
      </w:hyperlink>
    </w:p>
    <w:p w14:paraId="26AEFABC" w14:textId="0B8AAEDC" w:rsidR="00200E1B" w:rsidRDefault="00B77F3A">
      <w:pPr>
        <w:pStyle w:val="TOC2"/>
        <w:rPr>
          <w:rFonts w:eastAsiaTheme="minorEastAsia" w:cstheme="minorBidi"/>
          <w:smallCaps w:val="0"/>
          <w:noProof/>
          <w:sz w:val="22"/>
          <w:szCs w:val="22"/>
          <w:lang w:val="en-NZ" w:eastAsia="en-NZ" w:bidi="ar-SA"/>
        </w:rPr>
      </w:pPr>
      <w:hyperlink w:anchor="_Toc139031136" w:history="1">
        <w:r w:rsidR="00200E1B" w:rsidRPr="000E19BB">
          <w:rPr>
            <w:rStyle w:val="Hyperlink"/>
            <w:noProof/>
          </w:rPr>
          <w:t>4.2</w:t>
        </w:r>
        <w:r w:rsidR="00200E1B">
          <w:rPr>
            <w:rFonts w:eastAsiaTheme="minorEastAsia" w:cstheme="minorBidi"/>
            <w:smallCaps w:val="0"/>
            <w:noProof/>
            <w:sz w:val="22"/>
            <w:szCs w:val="22"/>
            <w:lang w:val="en-NZ" w:eastAsia="en-NZ" w:bidi="ar-SA"/>
          </w:rPr>
          <w:tab/>
        </w:r>
        <w:r w:rsidR="00200E1B" w:rsidRPr="000E19BB">
          <w:rPr>
            <w:rStyle w:val="Hyperlink"/>
            <w:noProof/>
          </w:rPr>
          <w:t>Option 2 – Harmonise the ML for DST and PST to Codex</w:t>
        </w:r>
        <w:r w:rsidR="00200E1B">
          <w:rPr>
            <w:noProof/>
            <w:webHidden/>
          </w:rPr>
          <w:tab/>
        </w:r>
        <w:r w:rsidR="00200E1B">
          <w:rPr>
            <w:noProof/>
            <w:webHidden/>
          </w:rPr>
          <w:fldChar w:fldCharType="begin"/>
        </w:r>
        <w:r w:rsidR="00200E1B">
          <w:rPr>
            <w:noProof/>
            <w:webHidden/>
          </w:rPr>
          <w:instrText xml:space="preserve"> PAGEREF _Toc139031136 \h </w:instrText>
        </w:r>
        <w:r w:rsidR="00200E1B">
          <w:rPr>
            <w:noProof/>
            <w:webHidden/>
          </w:rPr>
        </w:r>
        <w:r w:rsidR="00200E1B">
          <w:rPr>
            <w:noProof/>
            <w:webHidden/>
          </w:rPr>
          <w:fldChar w:fldCharType="separate"/>
        </w:r>
        <w:r>
          <w:rPr>
            <w:noProof/>
            <w:webHidden/>
          </w:rPr>
          <w:t>3</w:t>
        </w:r>
        <w:r w:rsidR="00200E1B">
          <w:rPr>
            <w:noProof/>
            <w:webHidden/>
          </w:rPr>
          <w:fldChar w:fldCharType="end"/>
        </w:r>
      </w:hyperlink>
    </w:p>
    <w:p w14:paraId="21D5CEC6" w14:textId="05EF5D6C" w:rsidR="00200E1B" w:rsidRDefault="00B77F3A">
      <w:pPr>
        <w:pStyle w:val="TOC1"/>
        <w:tabs>
          <w:tab w:val="left" w:pos="440"/>
        </w:tabs>
        <w:rPr>
          <w:rFonts w:eastAsiaTheme="minorEastAsia" w:cstheme="minorBidi"/>
          <w:b w:val="0"/>
          <w:bCs w:val="0"/>
          <w:caps w:val="0"/>
          <w:noProof/>
          <w:sz w:val="22"/>
          <w:szCs w:val="22"/>
          <w:lang w:val="en-NZ" w:eastAsia="en-NZ" w:bidi="ar-SA"/>
        </w:rPr>
      </w:pPr>
      <w:hyperlink w:anchor="_Toc139031137" w:history="1">
        <w:r w:rsidR="00200E1B" w:rsidRPr="000E19BB">
          <w:rPr>
            <w:rStyle w:val="Hyperlink"/>
            <w:noProof/>
          </w:rPr>
          <w:t>5</w:t>
        </w:r>
        <w:r w:rsidR="00200E1B">
          <w:rPr>
            <w:rFonts w:eastAsiaTheme="minorEastAsia" w:cstheme="minorBidi"/>
            <w:b w:val="0"/>
            <w:bCs w:val="0"/>
            <w:caps w:val="0"/>
            <w:noProof/>
            <w:sz w:val="22"/>
            <w:szCs w:val="22"/>
            <w:lang w:val="en-NZ" w:eastAsia="en-NZ" w:bidi="ar-SA"/>
          </w:rPr>
          <w:tab/>
        </w:r>
        <w:r w:rsidR="00200E1B" w:rsidRPr="000E19BB">
          <w:rPr>
            <w:rStyle w:val="Hyperlink"/>
            <w:noProof/>
          </w:rPr>
          <w:t>Cost benefit analysis</w:t>
        </w:r>
        <w:r w:rsidR="00200E1B">
          <w:rPr>
            <w:noProof/>
            <w:webHidden/>
          </w:rPr>
          <w:tab/>
        </w:r>
        <w:r w:rsidR="00200E1B">
          <w:rPr>
            <w:noProof/>
            <w:webHidden/>
          </w:rPr>
          <w:fldChar w:fldCharType="begin"/>
        </w:r>
        <w:r w:rsidR="00200E1B">
          <w:rPr>
            <w:noProof/>
            <w:webHidden/>
          </w:rPr>
          <w:instrText xml:space="preserve"> PAGEREF _Toc139031137 \h </w:instrText>
        </w:r>
        <w:r w:rsidR="00200E1B">
          <w:rPr>
            <w:noProof/>
            <w:webHidden/>
          </w:rPr>
        </w:r>
        <w:r w:rsidR="00200E1B">
          <w:rPr>
            <w:noProof/>
            <w:webHidden/>
          </w:rPr>
          <w:fldChar w:fldCharType="separate"/>
        </w:r>
        <w:r>
          <w:rPr>
            <w:noProof/>
            <w:webHidden/>
          </w:rPr>
          <w:t>3</w:t>
        </w:r>
        <w:r w:rsidR="00200E1B">
          <w:rPr>
            <w:noProof/>
            <w:webHidden/>
          </w:rPr>
          <w:fldChar w:fldCharType="end"/>
        </w:r>
      </w:hyperlink>
    </w:p>
    <w:p w14:paraId="226A388E" w14:textId="002789AD" w:rsidR="00200E1B" w:rsidRDefault="00B77F3A">
      <w:pPr>
        <w:pStyle w:val="TOC2"/>
        <w:rPr>
          <w:rFonts w:eastAsiaTheme="minorEastAsia" w:cstheme="minorBidi"/>
          <w:smallCaps w:val="0"/>
          <w:noProof/>
          <w:sz w:val="22"/>
          <w:szCs w:val="22"/>
          <w:lang w:val="en-NZ" w:eastAsia="en-NZ" w:bidi="ar-SA"/>
        </w:rPr>
      </w:pPr>
      <w:hyperlink w:anchor="_Toc139031138" w:history="1">
        <w:r w:rsidR="00200E1B" w:rsidRPr="000E19BB">
          <w:rPr>
            <w:rStyle w:val="Hyperlink"/>
            <w:noProof/>
          </w:rPr>
          <w:t>5.1</w:t>
        </w:r>
        <w:r w:rsidR="00200E1B">
          <w:rPr>
            <w:rFonts w:eastAsiaTheme="minorEastAsia" w:cstheme="minorBidi"/>
            <w:smallCaps w:val="0"/>
            <w:noProof/>
            <w:sz w:val="22"/>
            <w:szCs w:val="22"/>
            <w:lang w:val="en-NZ" w:eastAsia="en-NZ" w:bidi="ar-SA"/>
          </w:rPr>
          <w:tab/>
        </w:r>
        <w:r w:rsidR="00200E1B" w:rsidRPr="000E19BB">
          <w:rPr>
            <w:rStyle w:val="Hyperlink"/>
            <w:noProof/>
          </w:rPr>
          <w:t>Net benefit expected from accepting the application</w:t>
        </w:r>
        <w:r w:rsidR="00200E1B">
          <w:rPr>
            <w:noProof/>
            <w:webHidden/>
          </w:rPr>
          <w:tab/>
        </w:r>
        <w:r w:rsidR="00200E1B">
          <w:rPr>
            <w:noProof/>
            <w:webHidden/>
          </w:rPr>
          <w:fldChar w:fldCharType="begin"/>
        </w:r>
        <w:r w:rsidR="00200E1B">
          <w:rPr>
            <w:noProof/>
            <w:webHidden/>
          </w:rPr>
          <w:instrText xml:space="preserve"> PAGEREF _Toc139031138 \h </w:instrText>
        </w:r>
        <w:r w:rsidR="00200E1B">
          <w:rPr>
            <w:noProof/>
            <w:webHidden/>
          </w:rPr>
        </w:r>
        <w:r w:rsidR="00200E1B">
          <w:rPr>
            <w:noProof/>
            <w:webHidden/>
          </w:rPr>
          <w:fldChar w:fldCharType="separate"/>
        </w:r>
        <w:r>
          <w:rPr>
            <w:noProof/>
            <w:webHidden/>
          </w:rPr>
          <w:t>3</w:t>
        </w:r>
        <w:r w:rsidR="00200E1B">
          <w:rPr>
            <w:noProof/>
            <w:webHidden/>
          </w:rPr>
          <w:fldChar w:fldCharType="end"/>
        </w:r>
      </w:hyperlink>
    </w:p>
    <w:p w14:paraId="60086305" w14:textId="382E088E" w:rsidR="00200E1B" w:rsidRDefault="00B77F3A">
      <w:pPr>
        <w:pStyle w:val="TOC2"/>
        <w:rPr>
          <w:rFonts w:eastAsiaTheme="minorEastAsia" w:cstheme="minorBidi"/>
          <w:smallCaps w:val="0"/>
          <w:noProof/>
          <w:sz w:val="22"/>
          <w:szCs w:val="22"/>
          <w:lang w:val="en-NZ" w:eastAsia="en-NZ" w:bidi="ar-SA"/>
        </w:rPr>
      </w:pPr>
      <w:hyperlink w:anchor="_Toc139031139" w:history="1">
        <w:r w:rsidR="00200E1B" w:rsidRPr="000E19BB">
          <w:rPr>
            <w:rStyle w:val="Hyperlink"/>
            <w:noProof/>
          </w:rPr>
          <w:t>5.2</w:t>
        </w:r>
        <w:r w:rsidR="00200E1B">
          <w:rPr>
            <w:rFonts w:eastAsiaTheme="minorEastAsia" w:cstheme="minorBidi"/>
            <w:smallCaps w:val="0"/>
            <w:noProof/>
            <w:sz w:val="22"/>
            <w:szCs w:val="22"/>
            <w:lang w:val="en-NZ" w:eastAsia="en-NZ" w:bidi="ar-SA"/>
          </w:rPr>
          <w:tab/>
        </w:r>
        <w:r w:rsidR="00200E1B" w:rsidRPr="000E19BB">
          <w:rPr>
            <w:rStyle w:val="Hyperlink"/>
            <w:noProof/>
          </w:rPr>
          <w:t>Questions for stakeholders</w:t>
        </w:r>
        <w:r w:rsidR="00200E1B">
          <w:rPr>
            <w:noProof/>
            <w:webHidden/>
          </w:rPr>
          <w:tab/>
        </w:r>
        <w:r w:rsidR="00200E1B">
          <w:rPr>
            <w:noProof/>
            <w:webHidden/>
          </w:rPr>
          <w:fldChar w:fldCharType="begin"/>
        </w:r>
        <w:r w:rsidR="00200E1B">
          <w:rPr>
            <w:noProof/>
            <w:webHidden/>
          </w:rPr>
          <w:instrText xml:space="preserve"> PAGEREF _Toc139031139 \h </w:instrText>
        </w:r>
        <w:r w:rsidR="00200E1B">
          <w:rPr>
            <w:noProof/>
            <w:webHidden/>
          </w:rPr>
        </w:r>
        <w:r w:rsidR="00200E1B">
          <w:rPr>
            <w:noProof/>
            <w:webHidden/>
          </w:rPr>
          <w:fldChar w:fldCharType="separate"/>
        </w:r>
        <w:r>
          <w:rPr>
            <w:noProof/>
            <w:webHidden/>
          </w:rPr>
          <w:t>4</w:t>
        </w:r>
        <w:r w:rsidR="00200E1B">
          <w:rPr>
            <w:noProof/>
            <w:webHidden/>
          </w:rPr>
          <w:fldChar w:fldCharType="end"/>
        </w:r>
      </w:hyperlink>
    </w:p>
    <w:p w14:paraId="3CCBA2F0" w14:textId="1410F751" w:rsidR="00200E1B" w:rsidRDefault="00B77F3A">
      <w:pPr>
        <w:pStyle w:val="TOC2"/>
        <w:rPr>
          <w:rFonts w:eastAsiaTheme="minorEastAsia" w:cstheme="minorBidi"/>
          <w:smallCaps w:val="0"/>
          <w:noProof/>
          <w:sz w:val="22"/>
          <w:szCs w:val="22"/>
          <w:lang w:val="en-NZ" w:eastAsia="en-NZ" w:bidi="ar-SA"/>
        </w:rPr>
      </w:pPr>
      <w:hyperlink w:anchor="_Toc139031140" w:history="1">
        <w:r w:rsidR="00200E1B" w:rsidRPr="000E19BB">
          <w:rPr>
            <w:rStyle w:val="Hyperlink"/>
            <w:noProof/>
          </w:rPr>
          <w:t>5.3</w:t>
        </w:r>
        <w:r w:rsidR="00200E1B">
          <w:rPr>
            <w:rFonts w:eastAsiaTheme="minorEastAsia" w:cstheme="minorBidi"/>
            <w:smallCaps w:val="0"/>
            <w:noProof/>
            <w:sz w:val="22"/>
            <w:szCs w:val="22"/>
            <w:lang w:val="en-NZ" w:eastAsia="en-NZ" w:bidi="ar-SA"/>
          </w:rPr>
          <w:tab/>
        </w:r>
        <w:r w:rsidR="00200E1B" w:rsidRPr="000E19BB">
          <w:rPr>
            <w:rStyle w:val="Hyperlink"/>
            <w:noProof/>
          </w:rPr>
          <w:t>Impacts on consumers</w:t>
        </w:r>
        <w:r w:rsidR="00200E1B">
          <w:rPr>
            <w:noProof/>
            <w:webHidden/>
          </w:rPr>
          <w:tab/>
        </w:r>
        <w:r w:rsidR="00200E1B">
          <w:rPr>
            <w:noProof/>
            <w:webHidden/>
          </w:rPr>
          <w:fldChar w:fldCharType="begin"/>
        </w:r>
        <w:r w:rsidR="00200E1B">
          <w:rPr>
            <w:noProof/>
            <w:webHidden/>
          </w:rPr>
          <w:instrText xml:space="preserve"> PAGEREF _Toc139031140 \h </w:instrText>
        </w:r>
        <w:r w:rsidR="00200E1B">
          <w:rPr>
            <w:noProof/>
            <w:webHidden/>
          </w:rPr>
        </w:r>
        <w:r w:rsidR="00200E1B">
          <w:rPr>
            <w:noProof/>
            <w:webHidden/>
          </w:rPr>
          <w:fldChar w:fldCharType="separate"/>
        </w:r>
        <w:r>
          <w:rPr>
            <w:noProof/>
            <w:webHidden/>
          </w:rPr>
          <w:t>4</w:t>
        </w:r>
        <w:r w:rsidR="00200E1B">
          <w:rPr>
            <w:noProof/>
            <w:webHidden/>
          </w:rPr>
          <w:fldChar w:fldCharType="end"/>
        </w:r>
      </w:hyperlink>
    </w:p>
    <w:p w14:paraId="6B36AF25" w14:textId="35CE03C3" w:rsidR="00200E1B" w:rsidRDefault="00B77F3A">
      <w:pPr>
        <w:pStyle w:val="TOC3"/>
        <w:tabs>
          <w:tab w:val="left" w:pos="1100"/>
          <w:tab w:val="right" w:leader="dot" w:pos="9060"/>
        </w:tabs>
        <w:rPr>
          <w:rFonts w:eastAsiaTheme="minorEastAsia" w:cstheme="minorBidi"/>
          <w:i w:val="0"/>
          <w:iCs w:val="0"/>
          <w:noProof/>
          <w:sz w:val="22"/>
          <w:szCs w:val="22"/>
          <w:lang w:val="en-NZ" w:eastAsia="en-NZ" w:bidi="ar-SA"/>
        </w:rPr>
      </w:pPr>
      <w:hyperlink w:anchor="_Toc139031141" w:history="1">
        <w:r w:rsidR="00200E1B" w:rsidRPr="000E19BB">
          <w:rPr>
            <w:rStyle w:val="Hyperlink"/>
            <w:noProof/>
          </w:rPr>
          <w:t>5.3.1</w:t>
        </w:r>
        <w:r w:rsidR="00200E1B">
          <w:rPr>
            <w:rFonts w:eastAsiaTheme="minorEastAsia" w:cstheme="minorBidi"/>
            <w:i w:val="0"/>
            <w:iCs w:val="0"/>
            <w:noProof/>
            <w:sz w:val="22"/>
            <w:szCs w:val="22"/>
            <w:lang w:val="en-NZ" w:eastAsia="en-NZ" w:bidi="ar-SA"/>
          </w:rPr>
          <w:tab/>
        </w:r>
        <w:r w:rsidR="00200E1B" w:rsidRPr="000E19BB">
          <w:rPr>
            <w:rStyle w:val="Hyperlink"/>
            <w:noProof/>
          </w:rPr>
          <w:t>Impact on food safety for consumers</w:t>
        </w:r>
        <w:r w:rsidR="00200E1B">
          <w:rPr>
            <w:noProof/>
            <w:webHidden/>
          </w:rPr>
          <w:tab/>
        </w:r>
        <w:r w:rsidR="00200E1B">
          <w:rPr>
            <w:noProof/>
            <w:webHidden/>
          </w:rPr>
          <w:fldChar w:fldCharType="begin"/>
        </w:r>
        <w:r w:rsidR="00200E1B">
          <w:rPr>
            <w:noProof/>
            <w:webHidden/>
          </w:rPr>
          <w:instrText xml:space="preserve"> PAGEREF _Toc139031141 \h </w:instrText>
        </w:r>
        <w:r w:rsidR="00200E1B">
          <w:rPr>
            <w:noProof/>
            <w:webHidden/>
          </w:rPr>
        </w:r>
        <w:r w:rsidR="00200E1B">
          <w:rPr>
            <w:noProof/>
            <w:webHidden/>
          </w:rPr>
          <w:fldChar w:fldCharType="separate"/>
        </w:r>
        <w:r>
          <w:rPr>
            <w:noProof/>
            <w:webHidden/>
          </w:rPr>
          <w:t>4</w:t>
        </w:r>
        <w:r w:rsidR="00200E1B">
          <w:rPr>
            <w:noProof/>
            <w:webHidden/>
          </w:rPr>
          <w:fldChar w:fldCharType="end"/>
        </w:r>
      </w:hyperlink>
    </w:p>
    <w:p w14:paraId="2BEA161A" w14:textId="4869B40B" w:rsidR="00200E1B" w:rsidRDefault="00B77F3A">
      <w:pPr>
        <w:pStyle w:val="TOC3"/>
        <w:tabs>
          <w:tab w:val="left" w:pos="1100"/>
          <w:tab w:val="right" w:leader="dot" w:pos="9060"/>
        </w:tabs>
        <w:rPr>
          <w:rFonts w:eastAsiaTheme="minorEastAsia" w:cstheme="minorBidi"/>
          <w:i w:val="0"/>
          <w:iCs w:val="0"/>
          <w:noProof/>
          <w:sz w:val="22"/>
          <w:szCs w:val="22"/>
          <w:lang w:val="en-NZ" w:eastAsia="en-NZ" w:bidi="ar-SA"/>
        </w:rPr>
      </w:pPr>
      <w:hyperlink w:anchor="_Toc139031142" w:history="1">
        <w:r w:rsidR="00200E1B" w:rsidRPr="000E19BB">
          <w:rPr>
            <w:rStyle w:val="Hyperlink"/>
            <w:noProof/>
          </w:rPr>
          <w:t>5.3.2</w:t>
        </w:r>
        <w:r w:rsidR="00200E1B">
          <w:rPr>
            <w:rFonts w:eastAsiaTheme="minorEastAsia" w:cstheme="minorBidi"/>
            <w:i w:val="0"/>
            <w:iCs w:val="0"/>
            <w:noProof/>
            <w:sz w:val="22"/>
            <w:szCs w:val="22"/>
            <w:lang w:val="en-NZ" w:eastAsia="en-NZ" w:bidi="ar-SA"/>
          </w:rPr>
          <w:tab/>
        </w:r>
        <w:r w:rsidR="00200E1B" w:rsidRPr="000E19BB">
          <w:rPr>
            <w:rStyle w:val="Hyperlink"/>
            <w:noProof/>
          </w:rPr>
          <w:t>Impact on prices for impacted products</w:t>
        </w:r>
        <w:r w:rsidR="00200E1B">
          <w:rPr>
            <w:noProof/>
            <w:webHidden/>
          </w:rPr>
          <w:tab/>
        </w:r>
        <w:r w:rsidR="00200E1B">
          <w:rPr>
            <w:noProof/>
            <w:webHidden/>
          </w:rPr>
          <w:fldChar w:fldCharType="begin"/>
        </w:r>
        <w:r w:rsidR="00200E1B">
          <w:rPr>
            <w:noProof/>
            <w:webHidden/>
          </w:rPr>
          <w:instrText xml:space="preserve"> PAGEREF _Toc139031142 \h </w:instrText>
        </w:r>
        <w:r w:rsidR="00200E1B">
          <w:rPr>
            <w:noProof/>
            <w:webHidden/>
          </w:rPr>
        </w:r>
        <w:r w:rsidR="00200E1B">
          <w:rPr>
            <w:noProof/>
            <w:webHidden/>
          </w:rPr>
          <w:fldChar w:fldCharType="separate"/>
        </w:r>
        <w:r>
          <w:rPr>
            <w:noProof/>
            <w:webHidden/>
          </w:rPr>
          <w:t>5</w:t>
        </w:r>
        <w:r w:rsidR="00200E1B">
          <w:rPr>
            <w:noProof/>
            <w:webHidden/>
          </w:rPr>
          <w:fldChar w:fldCharType="end"/>
        </w:r>
      </w:hyperlink>
    </w:p>
    <w:p w14:paraId="4E5EC06E" w14:textId="4738D9E6" w:rsidR="00200E1B" w:rsidRDefault="00B77F3A">
      <w:pPr>
        <w:pStyle w:val="TOC2"/>
        <w:rPr>
          <w:rFonts w:eastAsiaTheme="minorEastAsia" w:cstheme="minorBidi"/>
          <w:smallCaps w:val="0"/>
          <w:noProof/>
          <w:sz w:val="22"/>
          <w:szCs w:val="22"/>
          <w:lang w:val="en-NZ" w:eastAsia="en-NZ" w:bidi="ar-SA"/>
        </w:rPr>
      </w:pPr>
      <w:hyperlink w:anchor="_Toc139031143" w:history="1">
        <w:r w:rsidR="00200E1B" w:rsidRPr="000E19BB">
          <w:rPr>
            <w:rStyle w:val="Hyperlink"/>
            <w:noProof/>
          </w:rPr>
          <w:t>5.4</w:t>
        </w:r>
        <w:r w:rsidR="00200E1B">
          <w:rPr>
            <w:rFonts w:eastAsiaTheme="minorEastAsia" w:cstheme="minorBidi"/>
            <w:smallCaps w:val="0"/>
            <w:noProof/>
            <w:sz w:val="22"/>
            <w:szCs w:val="22"/>
            <w:lang w:val="en-NZ" w:eastAsia="en-NZ" w:bidi="ar-SA"/>
          </w:rPr>
          <w:tab/>
        </w:r>
        <w:r w:rsidR="00200E1B" w:rsidRPr="000E19BB">
          <w:rPr>
            <w:rStyle w:val="Hyperlink"/>
            <w:noProof/>
          </w:rPr>
          <w:t>Impacts on industry</w:t>
        </w:r>
        <w:r w:rsidR="00200E1B">
          <w:rPr>
            <w:noProof/>
            <w:webHidden/>
          </w:rPr>
          <w:tab/>
        </w:r>
        <w:r w:rsidR="00200E1B">
          <w:rPr>
            <w:noProof/>
            <w:webHidden/>
          </w:rPr>
          <w:fldChar w:fldCharType="begin"/>
        </w:r>
        <w:r w:rsidR="00200E1B">
          <w:rPr>
            <w:noProof/>
            <w:webHidden/>
          </w:rPr>
          <w:instrText xml:space="preserve"> PAGEREF _Toc139031143 \h </w:instrText>
        </w:r>
        <w:r w:rsidR="00200E1B">
          <w:rPr>
            <w:noProof/>
            <w:webHidden/>
          </w:rPr>
        </w:r>
        <w:r w:rsidR="00200E1B">
          <w:rPr>
            <w:noProof/>
            <w:webHidden/>
          </w:rPr>
          <w:fldChar w:fldCharType="separate"/>
        </w:r>
        <w:r>
          <w:rPr>
            <w:noProof/>
            <w:webHidden/>
          </w:rPr>
          <w:t>5</w:t>
        </w:r>
        <w:r w:rsidR="00200E1B">
          <w:rPr>
            <w:noProof/>
            <w:webHidden/>
          </w:rPr>
          <w:fldChar w:fldCharType="end"/>
        </w:r>
      </w:hyperlink>
    </w:p>
    <w:p w14:paraId="240925C3" w14:textId="49A01F97" w:rsidR="00200E1B" w:rsidRDefault="00B77F3A">
      <w:pPr>
        <w:pStyle w:val="TOC3"/>
        <w:tabs>
          <w:tab w:val="left" w:pos="1100"/>
          <w:tab w:val="right" w:leader="dot" w:pos="9060"/>
        </w:tabs>
        <w:rPr>
          <w:rFonts w:eastAsiaTheme="minorEastAsia" w:cstheme="minorBidi"/>
          <w:i w:val="0"/>
          <w:iCs w:val="0"/>
          <w:noProof/>
          <w:sz w:val="22"/>
          <w:szCs w:val="22"/>
          <w:lang w:val="en-NZ" w:eastAsia="en-NZ" w:bidi="ar-SA"/>
        </w:rPr>
      </w:pPr>
      <w:hyperlink w:anchor="_Toc139031144" w:history="1">
        <w:r w:rsidR="00200E1B" w:rsidRPr="000E19BB">
          <w:rPr>
            <w:rStyle w:val="Hyperlink"/>
            <w:noProof/>
          </w:rPr>
          <w:t>5.4.1</w:t>
        </w:r>
        <w:r w:rsidR="00200E1B">
          <w:rPr>
            <w:rFonts w:eastAsiaTheme="minorEastAsia" w:cstheme="minorBidi"/>
            <w:i w:val="0"/>
            <w:iCs w:val="0"/>
            <w:noProof/>
            <w:sz w:val="22"/>
            <w:szCs w:val="22"/>
            <w:lang w:val="en-NZ" w:eastAsia="en-NZ" w:bidi="ar-SA"/>
          </w:rPr>
          <w:tab/>
        </w:r>
        <w:r w:rsidR="00200E1B" w:rsidRPr="000E19BB">
          <w:rPr>
            <w:rStyle w:val="Hyperlink"/>
            <w:noProof/>
          </w:rPr>
          <w:t>About the industry</w:t>
        </w:r>
        <w:r w:rsidR="00200E1B">
          <w:rPr>
            <w:noProof/>
            <w:webHidden/>
          </w:rPr>
          <w:tab/>
        </w:r>
        <w:r w:rsidR="00200E1B">
          <w:rPr>
            <w:noProof/>
            <w:webHidden/>
          </w:rPr>
          <w:fldChar w:fldCharType="begin"/>
        </w:r>
        <w:r w:rsidR="00200E1B">
          <w:rPr>
            <w:noProof/>
            <w:webHidden/>
          </w:rPr>
          <w:instrText xml:space="preserve"> PAGEREF _Toc139031144 \h </w:instrText>
        </w:r>
        <w:r w:rsidR="00200E1B">
          <w:rPr>
            <w:noProof/>
            <w:webHidden/>
          </w:rPr>
        </w:r>
        <w:r w:rsidR="00200E1B">
          <w:rPr>
            <w:noProof/>
            <w:webHidden/>
          </w:rPr>
          <w:fldChar w:fldCharType="separate"/>
        </w:r>
        <w:r>
          <w:rPr>
            <w:noProof/>
            <w:webHidden/>
          </w:rPr>
          <w:t>5</w:t>
        </w:r>
        <w:r w:rsidR="00200E1B">
          <w:rPr>
            <w:noProof/>
            <w:webHidden/>
          </w:rPr>
          <w:fldChar w:fldCharType="end"/>
        </w:r>
      </w:hyperlink>
    </w:p>
    <w:p w14:paraId="0DFA6F9A" w14:textId="634915BF" w:rsidR="00200E1B" w:rsidRDefault="00B77F3A">
      <w:pPr>
        <w:pStyle w:val="TOC3"/>
        <w:tabs>
          <w:tab w:val="left" w:pos="1100"/>
          <w:tab w:val="right" w:leader="dot" w:pos="9060"/>
        </w:tabs>
        <w:rPr>
          <w:rFonts w:eastAsiaTheme="minorEastAsia" w:cstheme="minorBidi"/>
          <w:i w:val="0"/>
          <w:iCs w:val="0"/>
          <w:noProof/>
          <w:sz w:val="22"/>
          <w:szCs w:val="22"/>
          <w:lang w:val="en-NZ" w:eastAsia="en-NZ" w:bidi="ar-SA"/>
        </w:rPr>
      </w:pPr>
      <w:hyperlink w:anchor="_Toc139031145" w:history="1">
        <w:r w:rsidR="00200E1B" w:rsidRPr="000E19BB">
          <w:rPr>
            <w:rStyle w:val="Hyperlink"/>
            <w:noProof/>
          </w:rPr>
          <w:t>5.4.2</w:t>
        </w:r>
        <w:r w:rsidR="00200E1B">
          <w:rPr>
            <w:rFonts w:eastAsiaTheme="minorEastAsia" w:cstheme="minorBidi"/>
            <w:i w:val="0"/>
            <w:iCs w:val="0"/>
            <w:noProof/>
            <w:sz w:val="22"/>
            <w:szCs w:val="22"/>
            <w:lang w:val="en-NZ" w:eastAsia="en-NZ" w:bidi="ar-SA"/>
          </w:rPr>
          <w:tab/>
        </w:r>
        <w:r w:rsidR="00200E1B" w:rsidRPr="000E19BB">
          <w:rPr>
            <w:rStyle w:val="Hyperlink"/>
            <w:noProof/>
          </w:rPr>
          <w:t>Industry expected to benefit from harmonisation of standards</w:t>
        </w:r>
        <w:r w:rsidR="00200E1B">
          <w:rPr>
            <w:noProof/>
            <w:webHidden/>
          </w:rPr>
          <w:tab/>
        </w:r>
        <w:r w:rsidR="00200E1B">
          <w:rPr>
            <w:noProof/>
            <w:webHidden/>
          </w:rPr>
          <w:fldChar w:fldCharType="begin"/>
        </w:r>
        <w:r w:rsidR="00200E1B">
          <w:rPr>
            <w:noProof/>
            <w:webHidden/>
          </w:rPr>
          <w:instrText xml:space="preserve"> PAGEREF _Toc139031145 \h </w:instrText>
        </w:r>
        <w:r w:rsidR="00200E1B">
          <w:rPr>
            <w:noProof/>
            <w:webHidden/>
          </w:rPr>
        </w:r>
        <w:r w:rsidR="00200E1B">
          <w:rPr>
            <w:noProof/>
            <w:webHidden/>
          </w:rPr>
          <w:fldChar w:fldCharType="separate"/>
        </w:r>
        <w:r>
          <w:rPr>
            <w:noProof/>
            <w:webHidden/>
          </w:rPr>
          <w:t>6</w:t>
        </w:r>
        <w:r w:rsidR="00200E1B">
          <w:rPr>
            <w:noProof/>
            <w:webHidden/>
          </w:rPr>
          <w:fldChar w:fldCharType="end"/>
        </w:r>
      </w:hyperlink>
    </w:p>
    <w:p w14:paraId="5B981E8A" w14:textId="372C9BA7" w:rsidR="00200E1B" w:rsidRDefault="00B77F3A">
      <w:pPr>
        <w:pStyle w:val="TOC3"/>
        <w:tabs>
          <w:tab w:val="left" w:pos="1100"/>
          <w:tab w:val="right" w:leader="dot" w:pos="9060"/>
        </w:tabs>
        <w:rPr>
          <w:rFonts w:eastAsiaTheme="minorEastAsia" w:cstheme="minorBidi"/>
          <w:i w:val="0"/>
          <w:iCs w:val="0"/>
          <w:noProof/>
          <w:sz w:val="22"/>
          <w:szCs w:val="22"/>
          <w:lang w:val="en-NZ" w:eastAsia="en-NZ" w:bidi="ar-SA"/>
        </w:rPr>
      </w:pPr>
      <w:hyperlink w:anchor="_Toc139031146" w:history="1">
        <w:r w:rsidR="00200E1B" w:rsidRPr="000E19BB">
          <w:rPr>
            <w:rStyle w:val="Hyperlink"/>
            <w:noProof/>
          </w:rPr>
          <w:t>5.4.3</w:t>
        </w:r>
        <w:r w:rsidR="00200E1B">
          <w:rPr>
            <w:rFonts w:eastAsiaTheme="minorEastAsia" w:cstheme="minorBidi"/>
            <w:i w:val="0"/>
            <w:iCs w:val="0"/>
            <w:noProof/>
            <w:sz w:val="22"/>
            <w:szCs w:val="22"/>
            <w:lang w:val="en-NZ" w:eastAsia="en-NZ" w:bidi="ar-SA"/>
          </w:rPr>
          <w:tab/>
        </w:r>
        <w:r w:rsidR="00200E1B" w:rsidRPr="000E19BB">
          <w:rPr>
            <w:rStyle w:val="Hyperlink"/>
            <w:noProof/>
          </w:rPr>
          <w:t>Potential benefits for industry as a result of improved food safety</w:t>
        </w:r>
        <w:r w:rsidR="00200E1B">
          <w:rPr>
            <w:noProof/>
            <w:webHidden/>
          </w:rPr>
          <w:tab/>
        </w:r>
        <w:r w:rsidR="00200E1B">
          <w:rPr>
            <w:noProof/>
            <w:webHidden/>
          </w:rPr>
          <w:fldChar w:fldCharType="begin"/>
        </w:r>
        <w:r w:rsidR="00200E1B">
          <w:rPr>
            <w:noProof/>
            <w:webHidden/>
          </w:rPr>
          <w:instrText xml:space="preserve"> PAGEREF _Toc139031146 \h </w:instrText>
        </w:r>
        <w:r w:rsidR="00200E1B">
          <w:rPr>
            <w:noProof/>
            <w:webHidden/>
          </w:rPr>
        </w:r>
        <w:r w:rsidR="00200E1B">
          <w:rPr>
            <w:noProof/>
            <w:webHidden/>
          </w:rPr>
          <w:fldChar w:fldCharType="separate"/>
        </w:r>
        <w:r>
          <w:rPr>
            <w:noProof/>
            <w:webHidden/>
          </w:rPr>
          <w:t>7</w:t>
        </w:r>
        <w:r w:rsidR="00200E1B">
          <w:rPr>
            <w:noProof/>
            <w:webHidden/>
          </w:rPr>
          <w:fldChar w:fldCharType="end"/>
        </w:r>
      </w:hyperlink>
    </w:p>
    <w:p w14:paraId="75D88BCA" w14:textId="7D71D611" w:rsidR="00200E1B" w:rsidRDefault="00B77F3A">
      <w:pPr>
        <w:pStyle w:val="TOC3"/>
        <w:tabs>
          <w:tab w:val="left" w:pos="1100"/>
          <w:tab w:val="right" w:leader="dot" w:pos="9060"/>
        </w:tabs>
        <w:rPr>
          <w:rFonts w:eastAsiaTheme="minorEastAsia" w:cstheme="minorBidi"/>
          <w:i w:val="0"/>
          <w:iCs w:val="0"/>
          <w:noProof/>
          <w:sz w:val="22"/>
          <w:szCs w:val="22"/>
          <w:lang w:val="en-NZ" w:eastAsia="en-NZ" w:bidi="ar-SA"/>
        </w:rPr>
      </w:pPr>
      <w:hyperlink w:anchor="_Toc139031147" w:history="1">
        <w:r w:rsidR="00200E1B" w:rsidRPr="000E19BB">
          <w:rPr>
            <w:rStyle w:val="Hyperlink"/>
            <w:noProof/>
          </w:rPr>
          <w:t>5.4.4</w:t>
        </w:r>
        <w:r w:rsidR="00200E1B">
          <w:rPr>
            <w:rFonts w:eastAsiaTheme="minorEastAsia" w:cstheme="minorBidi"/>
            <w:i w:val="0"/>
            <w:iCs w:val="0"/>
            <w:noProof/>
            <w:sz w:val="22"/>
            <w:szCs w:val="22"/>
            <w:lang w:val="en-NZ" w:eastAsia="en-NZ" w:bidi="ar-SA"/>
          </w:rPr>
          <w:tab/>
        </w:r>
        <w:r w:rsidR="00200E1B" w:rsidRPr="000E19BB">
          <w:rPr>
            <w:rStyle w:val="Hyperlink"/>
            <w:noProof/>
          </w:rPr>
          <w:t>Costs for industry</w:t>
        </w:r>
        <w:r w:rsidR="00200E1B">
          <w:rPr>
            <w:noProof/>
            <w:webHidden/>
          </w:rPr>
          <w:tab/>
        </w:r>
        <w:r w:rsidR="00200E1B">
          <w:rPr>
            <w:noProof/>
            <w:webHidden/>
          </w:rPr>
          <w:fldChar w:fldCharType="begin"/>
        </w:r>
        <w:r w:rsidR="00200E1B">
          <w:rPr>
            <w:noProof/>
            <w:webHidden/>
          </w:rPr>
          <w:instrText xml:space="preserve"> PAGEREF _Toc139031147 \h </w:instrText>
        </w:r>
        <w:r w:rsidR="00200E1B">
          <w:rPr>
            <w:noProof/>
            <w:webHidden/>
          </w:rPr>
        </w:r>
        <w:r w:rsidR="00200E1B">
          <w:rPr>
            <w:noProof/>
            <w:webHidden/>
          </w:rPr>
          <w:fldChar w:fldCharType="separate"/>
        </w:r>
        <w:r>
          <w:rPr>
            <w:noProof/>
            <w:webHidden/>
          </w:rPr>
          <w:t>7</w:t>
        </w:r>
        <w:r w:rsidR="00200E1B">
          <w:rPr>
            <w:noProof/>
            <w:webHidden/>
          </w:rPr>
          <w:fldChar w:fldCharType="end"/>
        </w:r>
      </w:hyperlink>
    </w:p>
    <w:p w14:paraId="0F77C7A9" w14:textId="70E5889F" w:rsidR="00200E1B" w:rsidRDefault="00B77F3A">
      <w:pPr>
        <w:pStyle w:val="TOC3"/>
        <w:tabs>
          <w:tab w:val="left" w:pos="1100"/>
          <w:tab w:val="right" w:leader="dot" w:pos="9060"/>
        </w:tabs>
        <w:rPr>
          <w:rFonts w:eastAsiaTheme="minorEastAsia" w:cstheme="minorBidi"/>
          <w:i w:val="0"/>
          <w:iCs w:val="0"/>
          <w:noProof/>
          <w:sz w:val="22"/>
          <w:szCs w:val="22"/>
          <w:lang w:val="en-NZ" w:eastAsia="en-NZ" w:bidi="ar-SA"/>
        </w:rPr>
      </w:pPr>
      <w:hyperlink w:anchor="_Toc139031148" w:history="1">
        <w:r w:rsidR="00200E1B" w:rsidRPr="000E19BB">
          <w:rPr>
            <w:rStyle w:val="Hyperlink"/>
            <w:noProof/>
          </w:rPr>
          <w:t>5.4.5</w:t>
        </w:r>
        <w:r w:rsidR="00200E1B">
          <w:rPr>
            <w:rFonts w:eastAsiaTheme="minorEastAsia" w:cstheme="minorBidi"/>
            <w:i w:val="0"/>
            <w:iCs w:val="0"/>
            <w:noProof/>
            <w:sz w:val="22"/>
            <w:szCs w:val="22"/>
            <w:lang w:val="en-NZ" w:eastAsia="en-NZ" w:bidi="ar-SA"/>
          </w:rPr>
          <w:tab/>
        </w:r>
        <w:r w:rsidR="00200E1B" w:rsidRPr="000E19BB">
          <w:rPr>
            <w:rStyle w:val="Hyperlink"/>
            <w:noProof/>
          </w:rPr>
          <w:t>Impacts on government</w:t>
        </w:r>
        <w:r w:rsidR="00200E1B">
          <w:rPr>
            <w:noProof/>
            <w:webHidden/>
          </w:rPr>
          <w:tab/>
        </w:r>
        <w:r w:rsidR="00200E1B">
          <w:rPr>
            <w:noProof/>
            <w:webHidden/>
          </w:rPr>
          <w:fldChar w:fldCharType="begin"/>
        </w:r>
        <w:r w:rsidR="00200E1B">
          <w:rPr>
            <w:noProof/>
            <w:webHidden/>
          </w:rPr>
          <w:instrText xml:space="preserve"> PAGEREF _Toc139031148 \h </w:instrText>
        </w:r>
        <w:r w:rsidR="00200E1B">
          <w:rPr>
            <w:noProof/>
            <w:webHidden/>
          </w:rPr>
        </w:r>
        <w:r w:rsidR="00200E1B">
          <w:rPr>
            <w:noProof/>
            <w:webHidden/>
          </w:rPr>
          <w:fldChar w:fldCharType="separate"/>
        </w:r>
        <w:r>
          <w:rPr>
            <w:noProof/>
            <w:webHidden/>
          </w:rPr>
          <w:t>10</w:t>
        </w:r>
        <w:r w:rsidR="00200E1B">
          <w:rPr>
            <w:noProof/>
            <w:webHidden/>
          </w:rPr>
          <w:fldChar w:fldCharType="end"/>
        </w:r>
      </w:hyperlink>
    </w:p>
    <w:p w14:paraId="01335ADE" w14:textId="7F95AF22" w:rsidR="00200E1B" w:rsidRDefault="00B77F3A">
      <w:pPr>
        <w:pStyle w:val="TOC2"/>
        <w:rPr>
          <w:rFonts w:eastAsiaTheme="minorEastAsia" w:cstheme="minorBidi"/>
          <w:smallCaps w:val="0"/>
          <w:noProof/>
          <w:sz w:val="22"/>
          <w:szCs w:val="22"/>
          <w:lang w:val="en-NZ" w:eastAsia="en-NZ" w:bidi="ar-SA"/>
        </w:rPr>
      </w:pPr>
      <w:hyperlink w:anchor="_Toc139031149" w:history="1">
        <w:r w:rsidR="00200E1B" w:rsidRPr="000E19BB">
          <w:rPr>
            <w:rStyle w:val="Hyperlink"/>
            <w:noProof/>
          </w:rPr>
          <w:t>5.5</w:t>
        </w:r>
        <w:r w:rsidR="00200E1B">
          <w:rPr>
            <w:rFonts w:eastAsiaTheme="minorEastAsia" w:cstheme="minorBidi"/>
            <w:smallCaps w:val="0"/>
            <w:noProof/>
            <w:sz w:val="22"/>
            <w:szCs w:val="22"/>
            <w:lang w:val="en-NZ" w:eastAsia="en-NZ" w:bidi="ar-SA"/>
          </w:rPr>
          <w:tab/>
        </w:r>
        <w:r w:rsidR="00200E1B" w:rsidRPr="000E19BB">
          <w:rPr>
            <w:rStyle w:val="Hyperlink"/>
            <w:noProof/>
          </w:rPr>
          <w:t>Conclusion</w:t>
        </w:r>
        <w:r w:rsidR="00200E1B">
          <w:rPr>
            <w:noProof/>
            <w:webHidden/>
          </w:rPr>
          <w:tab/>
        </w:r>
        <w:r w:rsidR="00200E1B">
          <w:rPr>
            <w:noProof/>
            <w:webHidden/>
          </w:rPr>
          <w:fldChar w:fldCharType="begin"/>
        </w:r>
        <w:r w:rsidR="00200E1B">
          <w:rPr>
            <w:noProof/>
            <w:webHidden/>
          </w:rPr>
          <w:instrText xml:space="preserve"> PAGEREF _Toc139031149 \h </w:instrText>
        </w:r>
        <w:r w:rsidR="00200E1B">
          <w:rPr>
            <w:noProof/>
            <w:webHidden/>
          </w:rPr>
        </w:r>
        <w:r w:rsidR="00200E1B">
          <w:rPr>
            <w:noProof/>
            <w:webHidden/>
          </w:rPr>
          <w:fldChar w:fldCharType="separate"/>
        </w:r>
        <w:r>
          <w:rPr>
            <w:noProof/>
            <w:webHidden/>
          </w:rPr>
          <w:t>11</w:t>
        </w:r>
        <w:r w:rsidR="00200E1B">
          <w:rPr>
            <w:noProof/>
            <w:webHidden/>
          </w:rPr>
          <w:fldChar w:fldCharType="end"/>
        </w:r>
      </w:hyperlink>
    </w:p>
    <w:p w14:paraId="2A319A2B" w14:textId="5F715EBE" w:rsidR="00200E1B" w:rsidRDefault="00B77F3A">
      <w:pPr>
        <w:pStyle w:val="TOC1"/>
        <w:rPr>
          <w:rFonts w:eastAsiaTheme="minorEastAsia" w:cstheme="minorBidi"/>
          <w:b w:val="0"/>
          <w:bCs w:val="0"/>
          <w:caps w:val="0"/>
          <w:noProof/>
          <w:sz w:val="22"/>
          <w:szCs w:val="22"/>
          <w:lang w:val="en-NZ" w:eastAsia="en-NZ" w:bidi="ar-SA"/>
        </w:rPr>
      </w:pPr>
      <w:hyperlink w:anchor="_Toc139031150" w:history="1">
        <w:r w:rsidR="00200E1B" w:rsidRPr="000E19BB">
          <w:rPr>
            <w:rStyle w:val="Hyperlink"/>
            <w:noProof/>
          </w:rPr>
          <w:t>Attachment A – List of questions for stakeholders</w:t>
        </w:r>
        <w:r w:rsidR="00200E1B">
          <w:rPr>
            <w:noProof/>
            <w:webHidden/>
          </w:rPr>
          <w:tab/>
        </w:r>
        <w:r w:rsidR="00200E1B">
          <w:rPr>
            <w:noProof/>
            <w:webHidden/>
          </w:rPr>
          <w:fldChar w:fldCharType="begin"/>
        </w:r>
        <w:r w:rsidR="00200E1B">
          <w:rPr>
            <w:noProof/>
            <w:webHidden/>
          </w:rPr>
          <w:instrText xml:space="preserve"> PAGEREF _Toc139031150 \h </w:instrText>
        </w:r>
        <w:r w:rsidR="00200E1B">
          <w:rPr>
            <w:noProof/>
            <w:webHidden/>
          </w:rPr>
        </w:r>
        <w:r w:rsidR="00200E1B">
          <w:rPr>
            <w:noProof/>
            <w:webHidden/>
          </w:rPr>
          <w:fldChar w:fldCharType="separate"/>
        </w:r>
        <w:r>
          <w:rPr>
            <w:noProof/>
            <w:webHidden/>
          </w:rPr>
          <w:t>12</w:t>
        </w:r>
        <w:r w:rsidR="00200E1B">
          <w:rPr>
            <w:noProof/>
            <w:webHidden/>
          </w:rPr>
          <w:fldChar w:fldCharType="end"/>
        </w:r>
      </w:hyperlink>
    </w:p>
    <w:p w14:paraId="46EA9990" w14:textId="4BF41AD8" w:rsidR="00562917" w:rsidRDefault="00326D85" w:rsidP="00051ED9">
      <w:r>
        <w:fldChar w:fldCharType="end"/>
      </w:r>
    </w:p>
    <w:p w14:paraId="3111F404" w14:textId="77777777" w:rsidR="00E066BA" w:rsidRDefault="00E066BA" w:rsidP="00051ED9"/>
    <w:p w14:paraId="18CB1AF7" w14:textId="77777777" w:rsidR="00051ED9" w:rsidRDefault="00562917" w:rsidP="00772BDC">
      <w:r w:rsidRPr="00E203C2">
        <w:br w:type="page"/>
      </w:r>
    </w:p>
    <w:p w14:paraId="42D64395" w14:textId="638B9BBC" w:rsidR="00D60568" w:rsidRDefault="00ED53A8" w:rsidP="00813634">
      <w:pPr>
        <w:pStyle w:val="Heading1"/>
      </w:pPr>
      <w:bookmarkStart w:id="5" w:name="_Toc139031129"/>
      <w:r>
        <w:lastRenderedPageBreak/>
        <w:t>Introduction</w:t>
      </w:r>
      <w:bookmarkEnd w:id="5"/>
    </w:p>
    <w:p w14:paraId="273035BF" w14:textId="04FE34FE" w:rsidR="00855EE3" w:rsidRDefault="00855EE3" w:rsidP="00C50BEA">
      <w:pPr>
        <w:pStyle w:val="Heading2"/>
      </w:pPr>
      <w:bookmarkStart w:id="6" w:name="_Toc139031130"/>
      <w:r>
        <w:t>FSANZ Act requirements</w:t>
      </w:r>
      <w:bookmarkEnd w:id="6"/>
    </w:p>
    <w:p w14:paraId="7DE25788" w14:textId="6801F42A" w:rsidR="00ED53A8" w:rsidRDefault="00ED53A8" w:rsidP="00ED53A8">
      <w:pPr>
        <w:rPr>
          <w:lang w:bidi="ar-SA"/>
        </w:rPr>
      </w:pPr>
      <w:r w:rsidRPr="00ED53A8">
        <w:rPr>
          <w:lang w:bidi="ar-SA"/>
        </w:rPr>
        <w:t xml:space="preserve">Food Standards Australia New Zealand (FSANZ) has assessed an </w:t>
      </w:r>
      <w:r w:rsidR="006F7330">
        <w:rPr>
          <w:lang w:bidi="ar-SA"/>
        </w:rPr>
        <w:t>a</w:t>
      </w:r>
      <w:r w:rsidR="006F7330" w:rsidRPr="00ED53A8">
        <w:rPr>
          <w:lang w:bidi="ar-SA"/>
        </w:rPr>
        <w:t xml:space="preserve">pplication </w:t>
      </w:r>
      <w:r w:rsidRPr="00ED53A8">
        <w:rPr>
          <w:lang w:bidi="ar-SA"/>
        </w:rPr>
        <w:t xml:space="preserve">made by SafeFish on behalf of the Australian Shellfish Quality Assurance Advisory Committee (ASQAAC) seeking to amend the Australia New Zealand Food Standards Code </w:t>
      </w:r>
      <w:r w:rsidR="00247537">
        <w:rPr>
          <w:lang w:bidi="ar-SA"/>
        </w:rPr>
        <w:t xml:space="preserve">(the Code) </w:t>
      </w:r>
      <w:r w:rsidRPr="00ED53A8">
        <w:rPr>
          <w:lang w:bidi="ar-SA"/>
        </w:rPr>
        <w:t>to change the current maximum level (ML) in Schedule 19 to Standard 1.4.1 of the Code for two marine biotoxins in bivalve shellfish (molluscs).</w:t>
      </w:r>
    </w:p>
    <w:p w14:paraId="3486ED21" w14:textId="3743DA90" w:rsidR="00ED53A8" w:rsidRDefault="00ED53A8" w:rsidP="00ED53A8">
      <w:pPr>
        <w:rPr>
          <w:lang w:bidi="ar-SA"/>
        </w:rPr>
      </w:pPr>
    </w:p>
    <w:p w14:paraId="59A0137E" w14:textId="5D6905BB" w:rsidR="00ED53A8" w:rsidRDefault="00ED53A8" w:rsidP="00B11108">
      <w:pPr>
        <w:rPr>
          <w:lang w:bidi="ar-SA"/>
        </w:rPr>
      </w:pPr>
      <w:bookmarkStart w:id="7" w:name="_Hlk125038375"/>
      <w:r>
        <w:rPr>
          <w:lang w:bidi="ar-SA"/>
        </w:rPr>
        <w:t>In assessing the Application, FSANZ must have regard to</w:t>
      </w:r>
      <w:r w:rsidR="00B11108">
        <w:rPr>
          <w:lang w:bidi="ar-SA"/>
        </w:rPr>
        <w:t xml:space="preserve"> </w:t>
      </w:r>
      <w:r w:rsidRPr="00ED53A8">
        <w:t xml:space="preserve">whether costs that </w:t>
      </w:r>
      <w:r w:rsidR="0095697F">
        <w:t xml:space="preserve">would </w:t>
      </w:r>
      <w:r w:rsidRPr="00ED53A8">
        <w:t xml:space="preserve">arise from a food regulatory measure varied as a result of the application outweigh the </w:t>
      </w:r>
      <w:r w:rsidR="0095697F">
        <w:t xml:space="preserve">potential </w:t>
      </w:r>
      <w:r w:rsidRPr="00ED53A8">
        <w:t>benefits</w:t>
      </w:r>
      <w:r w:rsidR="00B11108">
        <w:t>.</w:t>
      </w:r>
    </w:p>
    <w:bookmarkEnd w:id="7"/>
    <w:p w14:paraId="16D22C9E" w14:textId="18066F4F" w:rsidR="00855EE3" w:rsidRDefault="00855EE3" w:rsidP="00855EE3">
      <w:pPr>
        <w:rPr>
          <w:lang w:bidi="ar-SA"/>
        </w:rPr>
      </w:pPr>
    </w:p>
    <w:p w14:paraId="026D245E" w14:textId="20B3FDCB" w:rsidR="00855EE3" w:rsidRDefault="00855EE3" w:rsidP="00855EE3">
      <w:pPr>
        <w:rPr>
          <w:lang w:bidi="ar-SA"/>
        </w:rPr>
      </w:pPr>
      <w:r>
        <w:rPr>
          <w:lang w:bidi="ar-SA"/>
        </w:rPr>
        <w:t xml:space="preserve">This Supporting Document analyses the </w:t>
      </w:r>
      <w:r w:rsidR="00E72511">
        <w:rPr>
          <w:lang w:bidi="ar-SA"/>
        </w:rPr>
        <w:t xml:space="preserve">potential </w:t>
      </w:r>
      <w:r>
        <w:rPr>
          <w:lang w:bidi="ar-SA"/>
        </w:rPr>
        <w:t>costs and benefits of the application</w:t>
      </w:r>
      <w:r w:rsidR="008604FA">
        <w:rPr>
          <w:lang w:bidi="ar-SA"/>
        </w:rPr>
        <w:t xml:space="preserve">; and addresses the other matters to which FSANZ has had regard in accordance with section 29 of the </w:t>
      </w:r>
      <w:r w:rsidR="00F058A3" w:rsidRPr="00E951E7">
        <w:rPr>
          <w:i/>
          <w:iCs/>
          <w:lang w:bidi="ar-SA"/>
        </w:rPr>
        <w:t>Food Standards Australia New Zealand Act 1991</w:t>
      </w:r>
      <w:r w:rsidR="00F058A3">
        <w:rPr>
          <w:lang w:bidi="ar-SA"/>
        </w:rPr>
        <w:t xml:space="preserve"> (</w:t>
      </w:r>
      <w:r w:rsidR="008604FA">
        <w:rPr>
          <w:lang w:bidi="ar-SA"/>
        </w:rPr>
        <w:t>FSANZ Act</w:t>
      </w:r>
      <w:r w:rsidR="00F058A3">
        <w:rPr>
          <w:lang w:bidi="ar-SA"/>
        </w:rPr>
        <w:t>)</w:t>
      </w:r>
      <w:r w:rsidR="00286A46">
        <w:rPr>
          <w:lang w:bidi="ar-SA"/>
        </w:rPr>
        <w:t>.</w:t>
      </w:r>
    </w:p>
    <w:p w14:paraId="56C8097B" w14:textId="57F18F71" w:rsidR="00592577" w:rsidRDefault="00592577" w:rsidP="00855EE3">
      <w:pPr>
        <w:rPr>
          <w:lang w:bidi="ar-SA"/>
        </w:rPr>
      </w:pPr>
    </w:p>
    <w:p w14:paraId="22205B40" w14:textId="06C9A912" w:rsidR="00651E61" w:rsidRDefault="008604FA" w:rsidP="00855EE3">
      <w:pPr>
        <w:rPr>
          <w:lang w:bidi="ar-SA"/>
        </w:rPr>
      </w:pPr>
      <w:r>
        <w:rPr>
          <w:lang w:bidi="ar-SA"/>
        </w:rPr>
        <w:t xml:space="preserve">In </w:t>
      </w:r>
      <w:r w:rsidR="004B3D08">
        <w:rPr>
          <w:lang w:bidi="ar-SA"/>
        </w:rPr>
        <w:t xml:space="preserve">undertaking its analysis and </w:t>
      </w:r>
      <w:r w:rsidR="00F3478D">
        <w:rPr>
          <w:lang w:bidi="ar-SA"/>
        </w:rPr>
        <w:t>having regard to the abovementioned matters</w:t>
      </w:r>
      <w:r w:rsidR="00651E61">
        <w:rPr>
          <w:lang w:bidi="ar-SA"/>
        </w:rPr>
        <w:t xml:space="preserve">, FSANZ has relied on </w:t>
      </w:r>
      <w:r w:rsidR="005D45AD">
        <w:rPr>
          <w:lang w:bidi="ar-SA"/>
        </w:rPr>
        <w:t xml:space="preserve">the best available </w:t>
      </w:r>
      <w:r w:rsidR="00651E61">
        <w:rPr>
          <w:lang w:bidi="ar-SA"/>
        </w:rPr>
        <w:t xml:space="preserve">information </w:t>
      </w:r>
      <w:r w:rsidR="004B3D08">
        <w:rPr>
          <w:lang w:bidi="ar-SA"/>
        </w:rPr>
        <w:t>at the time</w:t>
      </w:r>
      <w:r w:rsidR="00651E61">
        <w:rPr>
          <w:lang w:bidi="ar-SA"/>
        </w:rPr>
        <w:t xml:space="preserve">. </w:t>
      </w:r>
      <w:r w:rsidR="00592577" w:rsidRPr="00592577">
        <w:rPr>
          <w:lang w:bidi="ar-SA"/>
        </w:rPr>
        <w:t xml:space="preserve"> </w:t>
      </w:r>
    </w:p>
    <w:p w14:paraId="58CA5C86" w14:textId="77777777" w:rsidR="00651E61" w:rsidRDefault="00651E61" w:rsidP="00855EE3">
      <w:pPr>
        <w:rPr>
          <w:lang w:bidi="ar-SA"/>
        </w:rPr>
      </w:pPr>
    </w:p>
    <w:p w14:paraId="2598A0A9" w14:textId="0FA2705C" w:rsidR="00DA079E" w:rsidRPr="00DA079E" w:rsidRDefault="00592577" w:rsidP="00DA079E">
      <w:pPr>
        <w:rPr>
          <w:lang w:bidi="ar-SA"/>
        </w:rPr>
      </w:pPr>
      <w:r w:rsidRPr="00592577">
        <w:rPr>
          <w:lang w:bidi="ar-SA"/>
        </w:rPr>
        <w:t xml:space="preserve">However, information received from the Call for Submissions may result in FSANZ arriving at a different </w:t>
      </w:r>
      <w:r>
        <w:rPr>
          <w:lang w:bidi="ar-SA"/>
        </w:rPr>
        <w:t>conclusion</w:t>
      </w:r>
      <w:r w:rsidR="00651E61">
        <w:rPr>
          <w:lang w:bidi="ar-SA"/>
        </w:rPr>
        <w:t>s</w:t>
      </w:r>
      <w:r w:rsidR="00F3478D">
        <w:rPr>
          <w:lang w:bidi="ar-SA"/>
        </w:rPr>
        <w:t xml:space="preserve"> to </w:t>
      </w:r>
      <w:r w:rsidR="00603F8F">
        <w:rPr>
          <w:lang w:bidi="ar-SA"/>
        </w:rPr>
        <w:t>t</w:t>
      </w:r>
      <w:r w:rsidR="00F3478D">
        <w:rPr>
          <w:lang w:bidi="ar-SA"/>
        </w:rPr>
        <w:t>hose s</w:t>
      </w:r>
      <w:r w:rsidR="00603F8F">
        <w:rPr>
          <w:lang w:bidi="ar-SA"/>
        </w:rPr>
        <w:t>e</w:t>
      </w:r>
      <w:r w:rsidR="00F3478D">
        <w:rPr>
          <w:lang w:bidi="ar-SA"/>
        </w:rPr>
        <w:t>t out below</w:t>
      </w:r>
      <w:r w:rsidRPr="00592577">
        <w:rPr>
          <w:lang w:bidi="ar-SA"/>
        </w:rPr>
        <w:t>.</w:t>
      </w:r>
    </w:p>
    <w:p w14:paraId="6BF9E63A" w14:textId="1B10394F" w:rsidR="00855EE3" w:rsidRDefault="00855EE3" w:rsidP="00C50BEA">
      <w:pPr>
        <w:pStyle w:val="Heading2"/>
      </w:pPr>
      <w:bookmarkStart w:id="8" w:name="_Toc139031131"/>
      <w:r>
        <w:t xml:space="preserve">Exemption from developing </w:t>
      </w:r>
      <w:r w:rsidR="001A4DC6">
        <w:t>OIA impact analysis</w:t>
      </w:r>
      <w:bookmarkEnd w:id="8"/>
    </w:p>
    <w:p w14:paraId="5ADAD588" w14:textId="62CFB8B1" w:rsidR="001A4DC6" w:rsidRDefault="00855EE3" w:rsidP="00855EE3">
      <w:r>
        <w:t>The Office of Impact Analysis</w:t>
      </w:r>
      <w:r>
        <w:rPr>
          <w:rStyle w:val="FootnoteReference"/>
        </w:rPr>
        <w:footnoteReference w:id="2"/>
      </w:r>
      <w:r>
        <w:t xml:space="preserve"> (OIA) has stated that</w:t>
      </w:r>
      <w:r w:rsidRPr="00C95882">
        <w:t xml:space="preserve"> the </w:t>
      </w:r>
      <w:r w:rsidR="00586F77" w:rsidRPr="00C95882">
        <w:t>propos</w:t>
      </w:r>
      <w:r w:rsidR="00586F77">
        <w:t>ed change</w:t>
      </w:r>
      <w:r w:rsidR="00586F77" w:rsidRPr="00C95882">
        <w:t xml:space="preserve"> </w:t>
      </w:r>
      <w:r w:rsidRPr="00C95882">
        <w:t xml:space="preserve">is unlikely to have a more than minor regulatory impact. </w:t>
      </w:r>
    </w:p>
    <w:p w14:paraId="37D70DB6" w14:textId="77777777" w:rsidR="001A4DC6" w:rsidRDefault="001A4DC6" w:rsidP="00855EE3"/>
    <w:p w14:paraId="04BBAA31" w14:textId="3E0C9743" w:rsidR="001A4DC6" w:rsidRDefault="00855EE3" w:rsidP="00855EE3">
      <w:r w:rsidRPr="00C95882">
        <w:t xml:space="preserve">As such, the preparation of </w:t>
      </w:r>
      <w:r w:rsidR="006E3F7F">
        <w:t>a Regulation Impact Statement (RIS)</w:t>
      </w:r>
      <w:r w:rsidRPr="00C95882">
        <w:t xml:space="preserve"> is not required</w:t>
      </w:r>
      <w:r>
        <w:t xml:space="preserve"> (OIA ID – </w:t>
      </w:r>
      <w:r w:rsidRPr="00406149">
        <w:t>OBPR22-03706</w:t>
      </w:r>
      <w:r>
        <w:t>).</w:t>
      </w:r>
    </w:p>
    <w:p w14:paraId="5D8D3FB8" w14:textId="0135A8EA" w:rsidR="009B5027" w:rsidRDefault="009B5027" w:rsidP="001A4DC6">
      <w:pPr>
        <w:pStyle w:val="Heading1"/>
      </w:pPr>
      <w:bookmarkStart w:id="9" w:name="_Toc139031132"/>
      <w:r>
        <w:t>Description of the problem</w:t>
      </w:r>
      <w:bookmarkEnd w:id="9"/>
    </w:p>
    <w:p w14:paraId="0FD56518" w14:textId="0C4C7CEA" w:rsidR="00077865" w:rsidRDefault="00E44799" w:rsidP="00E44799">
      <w:pPr>
        <w:rPr>
          <w:lang w:bidi="ar-SA"/>
        </w:rPr>
      </w:pPr>
      <w:r>
        <w:rPr>
          <w:lang w:bidi="ar-SA"/>
        </w:rPr>
        <w:t>The current biotoxin ML</w:t>
      </w:r>
      <w:r w:rsidR="003F3C02">
        <w:rPr>
          <w:lang w:bidi="ar-SA"/>
        </w:rPr>
        <w:t>s</w:t>
      </w:r>
      <w:r>
        <w:rPr>
          <w:lang w:bidi="ar-SA"/>
        </w:rPr>
        <w:t xml:space="preserve"> for bivalve molluscs </w:t>
      </w:r>
      <w:r w:rsidR="00247537">
        <w:rPr>
          <w:lang w:bidi="ar-SA"/>
        </w:rPr>
        <w:t>are</w:t>
      </w:r>
      <w:r w:rsidR="00077865">
        <w:rPr>
          <w:lang w:bidi="ar-SA"/>
        </w:rPr>
        <w:t xml:space="preserve"> listed </w:t>
      </w:r>
      <w:r>
        <w:rPr>
          <w:lang w:bidi="ar-SA"/>
        </w:rPr>
        <w:t xml:space="preserve">in Schedule 19 of the Code </w:t>
      </w:r>
      <w:r w:rsidR="00077865">
        <w:rPr>
          <w:lang w:bidi="ar-SA"/>
        </w:rPr>
        <w:t xml:space="preserve">and </w:t>
      </w:r>
      <w:r>
        <w:rPr>
          <w:lang w:bidi="ar-SA"/>
        </w:rPr>
        <w:t>referenced in Standard 1.4.1</w:t>
      </w:r>
      <w:r w:rsidR="00077865">
        <w:rPr>
          <w:lang w:bidi="ar-SA"/>
        </w:rPr>
        <w:t>.</w:t>
      </w:r>
      <w:r>
        <w:rPr>
          <w:lang w:bidi="ar-SA"/>
        </w:rPr>
        <w:t xml:space="preserve"> </w:t>
      </w:r>
    </w:p>
    <w:p w14:paraId="6E2E6359" w14:textId="77777777" w:rsidR="00077865" w:rsidRDefault="00077865" w:rsidP="00E44799">
      <w:pPr>
        <w:rPr>
          <w:lang w:bidi="ar-SA"/>
        </w:rPr>
      </w:pPr>
    </w:p>
    <w:p w14:paraId="2A5BCE9F" w14:textId="3863F4BB" w:rsidR="00E44799" w:rsidRDefault="00077865" w:rsidP="00E44799">
      <w:pPr>
        <w:rPr>
          <w:lang w:bidi="ar-SA"/>
        </w:rPr>
      </w:pPr>
      <w:r>
        <w:rPr>
          <w:lang w:bidi="ar-SA"/>
        </w:rPr>
        <w:t xml:space="preserve">The MLs in the Code </w:t>
      </w:r>
      <w:r w:rsidR="00784849">
        <w:rPr>
          <w:lang w:bidi="ar-SA"/>
        </w:rPr>
        <w:t xml:space="preserve">were </w:t>
      </w:r>
      <w:r w:rsidR="00E44799">
        <w:rPr>
          <w:lang w:bidi="ar-SA"/>
        </w:rPr>
        <w:t>determined in 1999</w:t>
      </w:r>
      <w:r>
        <w:rPr>
          <w:lang w:bidi="ar-SA"/>
        </w:rPr>
        <w:t xml:space="preserve"> and</w:t>
      </w:r>
      <w:r w:rsidRPr="00077865">
        <w:rPr>
          <w:lang w:bidi="ar-SA"/>
        </w:rPr>
        <w:t xml:space="preserve"> </w:t>
      </w:r>
      <w:r>
        <w:rPr>
          <w:lang w:bidi="ar-SA"/>
        </w:rPr>
        <w:t>have not been reviewed since then</w:t>
      </w:r>
      <w:r w:rsidR="00630F3B">
        <w:rPr>
          <w:lang w:bidi="ar-SA"/>
        </w:rPr>
        <w:t>.</w:t>
      </w:r>
      <w:r w:rsidR="00630F3B">
        <w:rPr>
          <w:rStyle w:val="FootnoteReference"/>
          <w:lang w:bidi="ar-SA"/>
        </w:rPr>
        <w:footnoteReference w:id="3"/>
      </w:r>
      <w:r w:rsidR="00E44799">
        <w:rPr>
          <w:lang w:bidi="ar-SA"/>
        </w:rPr>
        <w:t xml:space="preserve"> </w:t>
      </w:r>
    </w:p>
    <w:p w14:paraId="2866BCBD" w14:textId="77777777" w:rsidR="00E44799" w:rsidRDefault="00E44799" w:rsidP="00E44799">
      <w:pPr>
        <w:rPr>
          <w:lang w:bidi="ar-SA"/>
        </w:rPr>
      </w:pPr>
    </w:p>
    <w:p w14:paraId="5C52BBE3" w14:textId="55DADBD8" w:rsidR="00CA277A" w:rsidRPr="009B5027" w:rsidRDefault="00D640C3" w:rsidP="00CA277A">
      <w:pPr>
        <w:rPr>
          <w:lang w:bidi="ar-SA"/>
        </w:rPr>
      </w:pPr>
      <w:r>
        <w:rPr>
          <w:lang w:bidi="ar-SA"/>
        </w:rPr>
        <w:t xml:space="preserve">The MLs for Codex (a set of internationally agreed food standards) were updated for marine biotoxins in 2008. </w:t>
      </w:r>
      <w:r w:rsidR="00B66C0D">
        <w:rPr>
          <w:lang w:bidi="ar-SA"/>
        </w:rPr>
        <w:t xml:space="preserve">As a result, there is a difference between the MLs </w:t>
      </w:r>
      <w:r w:rsidR="00247537">
        <w:rPr>
          <w:lang w:bidi="ar-SA"/>
        </w:rPr>
        <w:t>established</w:t>
      </w:r>
      <w:r w:rsidR="00F1488A">
        <w:rPr>
          <w:lang w:bidi="ar-SA"/>
        </w:rPr>
        <w:t xml:space="preserve"> by Codex and the Code. </w:t>
      </w:r>
      <w:r w:rsidR="00CA277A">
        <w:rPr>
          <w:lang w:bidi="ar-SA"/>
        </w:rPr>
        <w:t xml:space="preserve">The Codex MLs under review in this application, established after </w:t>
      </w:r>
      <w:r w:rsidR="00586F77">
        <w:rPr>
          <w:lang w:bidi="ar-SA"/>
        </w:rPr>
        <w:t xml:space="preserve">Proposal </w:t>
      </w:r>
      <w:r w:rsidR="00CA277A">
        <w:rPr>
          <w:lang w:bidi="ar-SA"/>
        </w:rPr>
        <w:t>P158 and using more recent data, are lower than those set by FSANZ.</w:t>
      </w:r>
    </w:p>
    <w:p w14:paraId="09A0EA9A" w14:textId="77777777" w:rsidR="00D640C3" w:rsidRDefault="00D640C3" w:rsidP="00D640C3">
      <w:pPr>
        <w:rPr>
          <w:lang w:bidi="ar-SA"/>
        </w:rPr>
      </w:pPr>
    </w:p>
    <w:p w14:paraId="68CDF24B" w14:textId="6D60D1E8" w:rsidR="00E44799" w:rsidRDefault="00D640C3" w:rsidP="00E44799">
      <w:pPr>
        <w:rPr>
          <w:lang w:bidi="ar-SA"/>
        </w:rPr>
      </w:pPr>
      <w:r>
        <w:rPr>
          <w:lang w:bidi="ar-SA"/>
        </w:rPr>
        <w:t xml:space="preserve">The Codex MLs are based on a </w:t>
      </w:r>
      <w:r w:rsidR="00E44799">
        <w:rPr>
          <w:lang w:bidi="ar-SA"/>
        </w:rPr>
        <w:t xml:space="preserve">Food and Agriculture </w:t>
      </w:r>
      <w:r w:rsidR="003F3C02">
        <w:rPr>
          <w:lang w:bidi="ar-SA"/>
        </w:rPr>
        <w:t xml:space="preserve">Organization </w:t>
      </w:r>
      <w:r w:rsidR="00E44799">
        <w:rPr>
          <w:lang w:bidi="ar-SA"/>
        </w:rPr>
        <w:t>(FAO)</w:t>
      </w:r>
      <w:r w:rsidR="008E3BB0">
        <w:rPr>
          <w:lang w:bidi="ar-SA"/>
        </w:rPr>
        <w:t xml:space="preserve"> and </w:t>
      </w:r>
      <w:r w:rsidR="00E44799">
        <w:rPr>
          <w:lang w:bidi="ar-SA"/>
        </w:rPr>
        <w:t xml:space="preserve">World Health </w:t>
      </w:r>
      <w:r w:rsidR="00247537">
        <w:rPr>
          <w:lang w:bidi="ar-SA"/>
        </w:rPr>
        <w:t xml:space="preserve">Organization </w:t>
      </w:r>
      <w:r w:rsidR="00E44799">
        <w:rPr>
          <w:lang w:bidi="ar-SA"/>
        </w:rPr>
        <w:t>(WHO) risk assessment</w:t>
      </w:r>
      <w:r>
        <w:rPr>
          <w:lang w:bidi="ar-SA"/>
        </w:rPr>
        <w:t xml:space="preserve"> which</w:t>
      </w:r>
      <w:r w:rsidR="00E44799">
        <w:rPr>
          <w:lang w:bidi="ar-SA"/>
        </w:rPr>
        <w:t xml:space="preserve"> </w:t>
      </w:r>
      <w:r w:rsidR="008E3BB0">
        <w:rPr>
          <w:lang w:bidi="ar-SA"/>
        </w:rPr>
        <w:t>reviewed</w:t>
      </w:r>
      <w:r w:rsidR="00E44799">
        <w:rPr>
          <w:lang w:bidi="ar-SA"/>
        </w:rPr>
        <w:t xml:space="preserve"> several significant epidemiological studies undertaken after 1999</w:t>
      </w:r>
      <w:r w:rsidR="008E3BB0">
        <w:rPr>
          <w:lang w:bidi="ar-SA"/>
        </w:rPr>
        <w:t xml:space="preserve">. </w:t>
      </w:r>
    </w:p>
    <w:p w14:paraId="4CFAF354" w14:textId="1E2CB844" w:rsidR="00751A9A" w:rsidRDefault="0049510C" w:rsidP="001A4DC6">
      <w:pPr>
        <w:pStyle w:val="Heading1"/>
      </w:pPr>
      <w:bookmarkStart w:id="10" w:name="_Toc139031133"/>
      <w:r>
        <w:lastRenderedPageBreak/>
        <w:t>Objectives</w:t>
      </w:r>
      <w:bookmarkEnd w:id="10"/>
    </w:p>
    <w:p w14:paraId="3AE1F2ED" w14:textId="2BB5D2E5" w:rsidR="00AA1E1D" w:rsidRDefault="000E514C" w:rsidP="00412444">
      <w:pPr>
        <w:rPr>
          <w:lang w:bidi="ar-SA"/>
        </w:rPr>
      </w:pPr>
      <w:r>
        <w:rPr>
          <w:lang w:bidi="ar-SA"/>
        </w:rPr>
        <w:t>It is important to set objectives when evaluating a proposed change to regulation.</w:t>
      </w:r>
      <w:r w:rsidR="00DC177E">
        <w:rPr>
          <w:lang w:bidi="ar-SA"/>
        </w:rPr>
        <w:t xml:space="preserve"> </w:t>
      </w:r>
    </w:p>
    <w:p w14:paraId="7C9235EC" w14:textId="77777777" w:rsidR="00AA1E1D" w:rsidRDefault="00AA1E1D" w:rsidP="00441A48">
      <w:pPr>
        <w:rPr>
          <w:lang w:bidi="ar-SA"/>
        </w:rPr>
      </w:pPr>
    </w:p>
    <w:p w14:paraId="562A4F4E" w14:textId="7BFE1AB3" w:rsidR="00441A48" w:rsidRDefault="00402E31" w:rsidP="00441A48">
      <w:pPr>
        <w:rPr>
          <w:lang w:bidi="ar-SA"/>
        </w:rPr>
      </w:pPr>
      <w:r>
        <w:rPr>
          <w:lang w:bidi="ar-SA"/>
        </w:rPr>
        <w:t>The objectives of the proposed changes are</w:t>
      </w:r>
      <w:r w:rsidR="00412444">
        <w:rPr>
          <w:lang w:bidi="ar-SA"/>
        </w:rPr>
        <w:t xml:space="preserve"> to</w:t>
      </w:r>
      <w:r>
        <w:rPr>
          <w:lang w:bidi="ar-SA"/>
        </w:rPr>
        <w:t>:</w:t>
      </w:r>
    </w:p>
    <w:p w14:paraId="498A9012" w14:textId="77777777" w:rsidR="005E1B0A" w:rsidRPr="00441A48" w:rsidRDefault="005E1B0A" w:rsidP="005E1B0A">
      <w:pPr>
        <w:pStyle w:val="FSBullet1"/>
      </w:pPr>
      <w:r>
        <w:t>Increase alignment with international standards</w:t>
      </w:r>
    </w:p>
    <w:p w14:paraId="48B72CDF" w14:textId="49340AB8" w:rsidR="00402E31" w:rsidRDefault="00412444" w:rsidP="00402E31">
      <w:pPr>
        <w:pStyle w:val="FSBullet1"/>
      </w:pPr>
      <w:r>
        <w:t xml:space="preserve">Ensure </w:t>
      </w:r>
      <w:r w:rsidR="00402E31">
        <w:t>food standards</w:t>
      </w:r>
      <w:r w:rsidR="00D01148">
        <w:t xml:space="preserve"> remain</w:t>
      </w:r>
      <w:r w:rsidR="00D01148" w:rsidRPr="00D01148">
        <w:t xml:space="preserve"> </w:t>
      </w:r>
      <w:r w:rsidR="00D01148">
        <w:t>contemporary</w:t>
      </w:r>
      <w:r w:rsidR="00402E31">
        <w:t>, based on the latest data</w:t>
      </w:r>
    </w:p>
    <w:p w14:paraId="3641408D" w14:textId="6C8C0550" w:rsidR="00402E31" w:rsidRDefault="00D01148" w:rsidP="00402E31">
      <w:pPr>
        <w:pStyle w:val="FSBullet1"/>
      </w:pPr>
      <w:r>
        <w:t xml:space="preserve">Reduce the </w:t>
      </w:r>
      <w:r w:rsidR="00402E31">
        <w:t>risk of adverse health events</w:t>
      </w:r>
    </w:p>
    <w:p w14:paraId="5BB69FCD" w14:textId="73F25D1D" w:rsidR="005712D9" w:rsidRDefault="009330F6" w:rsidP="00E01FF0">
      <w:pPr>
        <w:pStyle w:val="Heading1"/>
      </w:pPr>
      <w:bookmarkStart w:id="11" w:name="_Toc139031134"/>
      <w:r>
        <w:t>Options considered</w:t>
      </w:r>
      <w:bookmarkEnd w:id="11"/>
    </w:p>
    <w:p w14:paraId="5D2F9034" w14:textId="297F703D" w:rsidR="00E01FF0" w:rsidRPr="00E01FF0" w:rsidRDefault="00E01FF0" w:rsidP="00E01FF0">
      <w:pPr>
        <w:rPr>
          <w:lang w:bidi="ar-SA"/>
        </w:rPr>
      </w:pPr>
      <w:r>
        <w:rPr>
          <w:lang w:bidi="ar-SA"/>
        </w:rPr>
        <w:t>This cost benefit analysis has considered the following options</w:t>
      </w:r>
      <w:r w:rsidR="00C55A1E">
        <w:rPr>
          <w:lang w:bidi="ar-SA"/>
        </w:rPr>
        <w:t xml:space="preserve">, the first would maintain the status quo and the second would </w:t>
      </w:r>
      <w:r w:rsidR="0095264A">
        <w:rPr>
          <w:lang w:bidi="ar-SA"/>
        </w:rPr>
        <w:t xml:space="preserve">amend the Code to change </w:t>
      </w:r>
      <w:r w:rsidR="00C55A1E">
        <w:rPr>
          <w:lang w:bidi="ar-SA"/>
        </w:rPr>
        <w:t xml:space="preserve">the </w:t>
      </w:r>
      <w:r w:rsidR="00247537">
        <w:rPr>
          <w:lang w:bidi="ar-SA"/>
        </w:rPr>
        <w:t xml:space="preserve">MLs requested in the </w:t>
      </w:r>
      <w:r w:rsidR="00C55A1E">
        <w:rPr>
          <w:lang w:bidi="ar-SA"/>
        </w:rPr>
        <w:t>application.</w:t>
      </w:r>
    </w:p>
    <w:p w14:paraId="44234438" w14:textId="2048FB60" w:rsidR="00FF4231" w:rsidRDefault="00FA4B79" w:rsidP="00C50BEA">
      <w:pPr>
        <w:pStyle w:val="Heading2"/>
      </w:pPr>
      <w:bookmarkStart w:id="12" w:name="_Toc139031135"/>
      <w:r>
        <w:t xml:space="preserve">Option 1 – </w:t>
      </w:r>
      <w:r w:rsidR="00FF4231">
        <w:t>Maintain the status quo</w:t>
      </w:r>
      <w:bookmarkEnd w:id="12"/>
    </w:p>
    <w:p w14:paraId="6E9DC968" w14:textId="71DC7144" w:rsidR="00E01FF0" w:rsidRPr="00E01FF0" w:rsidRDefault="004A5E3D" w:rsidP="00E01FF0">
      <w:pPr>
        <w:rPr>
          <w:lang w:bidi="ar-SA"/>
        </w:rPr>
      </w:pPr>
      <w:r>
        <w:rPr>
          <w:lang w:bidi="ar-SA"/>
        </w:rPr>
        <w:t>Maintaining the status quo would be to reject the application</w:t>
      </w:r>
      <w:r w:rsidR="00CD6884">
        <w:rPr>
          <w:lang w:bidi="ar-SA"/>
        </w:rPr>
        <w:t xml:space="preserve">. The following costs and benefits are assessed relative to this option. </w:t>
      </w:r>
    </w:p>
    <w:p w14:paraId="7D880EEB" w14:textId="4FB07EC4" w:rsidR="00E01FF0" w:rsidRDefault="00FA4B79" w:rsidP="00C50BEA">
      <w:pPr>
        <w:pStyle w:val="Heading2"/>
      </w:pPr>
      <w:bookmarkStart w:id="13" w:name="_Toc139031136"/>
      <w:r>
        <w:t xml:space="preserve">Option 2 – </w:t>
      </w:r>
      <w:r w:rsidR="00CF6436">
        <w:t>H</w:t>
      </w:r>
      <w:r w:rsidR="00CF6436" w:rsidRPr="00CF6436">
        <w:t>armonise the ML for DST and PST</w:t>
      </w:r>
      <w:r w:rsidR="00CF6436">
        <w:t xml:space="preserve"> to Codex</w:t>
      </w:r>
      <w:bookmarkEnd w:id="13"/>
    </w:p>
    <w:p w14:paraId="195DE091" w14:textId="2FADC7AD" w:rsidR="005B5B7C" w:rsidRDefault="00FA4B79" w:rsidP="00E47CE3">
      <w:r>
        <w:t xml:space="preserve">This </w:t>
      </w:r>
      <w:r w:rsidR="004766FD">
        <w:t>o</w:t>
      </w:r>
      <w:r>
        <w:t xml:space="preserve">ption would </w:t>
      </w:r>
      <w:r w:rsidR="00393FBF">
        <w:t xml:space="preserve">amend </w:t>
      </w:r>
      <w:r w:rsidR="00C2520C">
        <w:t xml:space="preserve">the Code to change </w:t>
      </w:r>
      <w:r>
        <w:t xml:space="preserve">the </w:t>
      </w:r>
      <w:r w:rsidR="00247537">
        <w:t xml:space="preserve">MLs requested in the </w:t>
      </w:r>
      <w:r>
        <w:t xml:space="preserve">application. </w:t>
      </w:r>
    </w:p>
    <w:p w14:paraId="6AE6AC62" w14:textId="77777777" w:rsidR="005B5B7C" w:rsidRDefault="005B5B7C" w:rsidP="00E47CE3"/>
    <w:p w14:paraId="0FAAC182" w14:textId="33152573" w:rsidR="00E47CE3" w:rsidRDefault="00CF6436" w:rsidP="00E47CE3">
      <w:r>
        <w:t xml:space="preserve">This option would </w:t>
      </w:r>
      <w:r w:rsidR="00E47CE3">
        <w:t>a</w:t>
      </w:r>
      <w:r w:rsidR="00471356">
        <w:t>lign diarrhetic</w:t>
      </w:r>
      <w:r w:rsidR="00586F77">
        <w:t xml:space="preserve"> shellfish toxins</w:t>
      </w:r>
      <w:r w:rsidR="00471356">
        <w:t xml:space="preserve"> (DST) and paralytic</w:t>
      </w:r>
      <w:r w:rsidR="00586F77">
        <w:t xml:space="preserve"> shellfish toxins</w:t>
      </w:r>
      <w:r w:rsidR="00471356">
        <w:t xml:space="preserve"> (PST) MLs for bivalve molluscs in Schedule 19  of the Code</w:t>
      </w:r>
      <w:r w:rsidR="00E47CE3">
        <w:t xml:space="preserve"> with the levels stated in both:</w:t>
      </w:r>
    </w:p>
    <w:p w14:paraId="0808A28D" w14:textId="3322DDA0" w:rsidR="00E47CE3" w:rsidRDefault="00E47CE3" w:rsidP="00E47CE3">
      <w:pPr>
        <w:pStyle w:val="FSBullet1"/>
      </w:pPr>
      <w:r>
        <w:t>Codex Standard CAC 292-2008 Standard for Live and Raw Bivalve Molluscs</w:t>
      </w:r>
      <w:r w:rsidR="00586F77">
        <w:t>,</w:t>
      </w:r>
      <w:r>
        <w:t xml:space="preserve"> and the</w:t>
      </w:r>
    </w:p>
    <w:p w14:paraId="4227D265" w14:textId="0173BC73" w:rsidR="00471356" w:rsidRDefault="00E47CE3" w:rsidP="00E01FF0">
      <w:pPr>
        <w:pStyle w:val="FSBullet1"/>
      </w:pPr>
      <w:r>
        <w:t>New Zealand Regulated Control Scheme - Bivalve Molluscan Shellfish for Human Consumption.</w:t>
      </w:r>
    </w:p>
    <w:p w14:paraId="0C8DEB61" w14:textId="3E839FF5" w:rsidR="001A4DC6" w:rsidRDefault="001A4DC6" w:rsidP="001A4DC6">
      <w:pPr>
        <w:pStyle w:val="Heading1"/>
      </w:pPr>
      <w:bookmarkStart w:id="14" w:name="_Toc139031137"/>
      <w:r>
        <w:t>Cost benefit analysis</w:t>
      </w:r>
      <w:bookmarkEnd w:id="14"/>
    </w:p>
    <w:p w14:paraId="5A577797" w14:textId="627AAAD3" w:rsidR="001A4DC6" w:rsidDel="00800722" w:rsidRDefault="001A4DC6" w:rsidP="00C50BEA">
      <w:pPr>
        <w:pStyle w:val="Heading2"/>
      </w:pPr>
      <w:bookmarkStart w:id="15" w:name="_Toc139031138"/>
      <w:r>
        <w:t xml:space="preserve">Net benefit expected from </w:t>
      </w:r>
      <w:r w:rsidR="00CD6884">
        <w:t>accepting the application</w:t>
      </w:r>
      <w:bookmarkEnd w:id="15"/>
      <w:r w:rsidR="00CD6884">
        <w:t xml:space="preserve"> </w:t>
      </w:r>
    </w:p>
    <w:p w14:paraId="315C46D4" w14:textId="77777777" w:rsidR="00FA4B79" w:rsidRDefault="00FA4B79" w:rsidP="00FA4B79">
      <w:r>
        <w:t>The purpose of this consideration is to determine if the community, government, and industry</w:t>
      </w:r>
    </w:p>
    <w:p w14:paraId="3C161240" w14:textId="77777777" w:rsidR="00FA4B79" w:rsidRDefault="00FA4B79" w:rsidP="00FA4B79">
      <w:r>
        <w:t>as a whole is likely to benefit, on balance, from a move from the status quo (where status</w:t>
      </w:r>
    </w:p>
    <w:p w14:paraId="35C6F5EB" w14:textId="77777777" w:rsidR="00FA4B79" w:rsidRDefault="00FA4B79" w:rsidP="00FA4B79">
      <w:r>
        <w:t>quo is Option 1: rejecting the application). This analysis considers costs and benefits to the</w:t>
      </w:r>
    </w:p>
    <w:p w14:paraId="068E7541" w14:textId="2D97C63F" w:rsidR="001A4DC6" w:rsidRDefault="00FA4B79" w:rsidP="00FA4B79">
      <w:r>
        <w:t>community, government, and industry.</w:t>
      </w:r>
    </w:p>
    <w:p w14:paraId="55FB976F" w14:textId="77777777" w:rsidR="00477A0E" w:rsidRDefault="00477A0E" w:rsidP="00FA4B79"/>
    <w:p w14:paraId="33A31BFC" w14:textId="4E9FD621" w:rsidR="00477A0E" w:rsidRDefault="00477A0E" w:rsidP="00FA4B79">
      <w:r>
        <w:t xml:space="preserve">FSANZ has concluded there is likely to be a net benefit of the proposal, </w:t>
      </w:r>
      <w:r w:rsidR="00247537">
        <w:t>because the</w:t>
      </w:r>
      <w:r>
        <w:t xml:space="preserve"> </w:t>
      </w:r>
      <w:r w:rsidR="00247537">
        <w:t xml:space="preserve">benefits of </w:t>
      </w:r>
      <w:r>
        <w:t xml:space="preserve">increased harmonisation </w:t>
      </w:r>
      <w:r w:rsidR="00247537">
        <w:t xml:space="preserve">with international standards </w:t>
      </w:r>
      <w:r w:rsidR="00BD7CE7">
        <w:t xml:space="preserve">would </w:t>
      </w:r>
      <w:r>
        <w:t xml:space="preserve">outweigh the </w:t>
      </w:r>
      <w:r w:rsidR="4EB6EF16">
        <w:t xml:space="preserve">costs associated with </w:t>
      </w:r>
      <w:r w:rsidR="002C555D">
        <w:t xml:space="preserve">the potential for </w:t>
      </w:r>
      <w:r>
        <w:t xml:space="preserve">more frequent closures. </w:t>
      </w:r>
      <w:r w:rsidR="00247537">
        <w:t xml:space="preserve">MLs are necessary in order to protect public health and safety. Lower MLs based on more recent risk assessments </w:t>
      </w:r>
      <w:r w:rsidR="00DB588D">
        <w:t xml:space="preserve">would </w:t>
      </w:r>
      <w:r w:rsidR="00247537">
        <w:t>further reduce the amount of biotoxins allowed in bivalve molluscs.</w:t>
      </w:r>
      <w:r w:rsidR="00304CCC">
        <w:t xml:space="preserve"> </w:t>
      </w:r>
      <w:r w:rsidR="00E4099F">
        <w:t>Overall, this would be a health</w:t>
      </w:r>
      <w:r w:rsidR="000E4B67">
        <w:t xml:space="preserve"> </w:t>
      </w:r>
      <w:r w:rsidR="00E4099F">
        <w:t>protective measure.</w:t>
      </w:r>
    </w:p>
    <w:p w14:paraId="5234A4A9" w14:textId="77777777" w:rsidR="00FA4B79" w:rsidRDefault="00FA4B79" w:rsidP="00FA4B79"/>
    <w:p w14:paraId="0AD8076B" w14:textId="2CF8DA14" w:rsidR="00477A0E" w:rsidRDefault="001A4DC6" w:rsidP="001A4DC6">
      <w:r>
        <w:t xml:space="preserve">The main benefits and costs of the application are summarised in the table below.  </w:t>
      </w:r>
    </w:p>
    <w:p w14:paraId="61F947E4" w14:textId="306F17C5" w:rsidR="00F41B51" w:rsidRDefault="00F41B51">
      <w:pPr>
        <w:widowControl/>
      </w:pPr>
      <w:r>
        <w:br w:type="page"/>
      </w:r>
    </w:p>
    <w:p w14:paraId="30EFA547" w14:textId="77777777" w:rsidR="001A4DC6" w:rsidRDefault="001A4DC6" w:rsidP="001A4DC6"/>
    <w:p w14:paraId="3347E1CD" w14:textId="774CC8C3" w:rsidR="001A4DC6" w:rsidRPr="00AD0164" w:rsidRDefault="001A4DC6" w:rsidP="001A4DC6">
      <w:pPr>
        <w:pStyle w:val="FSTableTitle"/>
        <w:rPr>
          <w:lang w:val="en-AU"/>
        </w:rPr>
      </w:pPr>
      <w:r>
        <w:t xml:space="preserve">Table </w:t>
      </w:r>
      <w:r w:rsidR="005113FD">
        <w:t xml:space="preserve">1 </w:t>
      </w:r>
      <w:r>
        <w:t xml:space="preserve">– </w:t>
      </w:r>
      <w:r w:rsidRPr="00930071">
        <w:t>Major impacts by social group</w:t>
      </w:r>
    </w:p>
    <w:tbl>
      <w:tblPr>
        <w:tblStyle w:val="TableGrid"/>
        <w:tblW w:w="0" w:type="auto"/>
        <w:tblLook w:val="04A0" w:firstRow="1" w:lastRow="0" w:firstColumn="1" w:lastColumn="0" w:noHBand="0" w:noVBand="1"/>
      </w:tblPr>
      <w:tblGrid>
        <w:gridCol w:w="1974"/>
        <w:gridCol w:w="1272"/>
        <w:gridCol w:w="5780"/>
        <w:gridCol w:w="44"/>
      </w:tblGrid>
      <w:tr w:rsidR="001A4DC6" w14:paraId="796E3D99" w14:textId="77777777" w:rsidTr="00E034B8">
        <w:trPr>
          <w:cantSplit/>
          <w:tblHeader/>
        </w:trPr>
        <w:tc>
          <w:tcPr>
            <w:tcW w:w="1979" w:type="dxa"/>
            <w:tcBorders>
              <w:top w:val="single" w:sz="12" w:space="0" w:color="auto"/>
              <w:left w:val="nil"/>
              <w:bottom w:val="single" w:sz="12" w:space="0" w:color="auto"/>
              <w:right w:val="nil"/>
            </w:tcBorders>
          </w:tcPr>
          <w:p w14:paraId="67AE457E" w14:textId="77777777" w:rsidR="001A4DC6" w:rsidRDefault="001A4DC6" w:rsidP="00244B01">
            <w:pPr>
              <w:pStyle w:val="FSTableHeading"/>
              <w:keepLines/>
              <w:widowControl/>
              <w:jc w:val="left"/>
            </w:pPr>
            <w:r>
              <w:t>Social group</w:t>
            </w:r>
          </w:p>
        </w:tc>
        <w:tc>
          <w:tcPr>
            <w:tcW w:w="1274" w:type="dxa"/>
            <w:tcBorders>
              <w:top w:val="single" w:sz="12" w:space="0" w:color="auto"/>
              <w:left w:val="nil"/>
              <w:bottom w:val="single" w:sz="12" w:space="0" w:color="auto"/>
              <w:right w:val="nil"/>
            </w:tcBorders>
          </w:tcPr>
          <w:p w14:paraId="23ACF2AE" w14:textId="77777777" w:rsidR="001A4DC6" w:rsidRDefault="001A4DC6" w:rsidP="00244B01">
            <w:pPr>
              <w:pStyle w:val="FSTableHeading"/>
              <w:keepLines/>
              <w:widowControl/>
              <w:jc w:val="left"/>
            </w:pPr>
            <w:r>
              <w:t xml:space="preserve">Impact </w:t>
            </w:r>
          </w:p>
        </w:tc>
        <w:tc>
          <w:tcPr>
            <w:tcW w:w="5817" w:type="dxa"/>
            <w:gridSpan w:val="2"/>
            <w:tcBorders>
              <w:top w:val="single" w:sz="12" w:space="0" w:color="auto"/>
              <w:left w:val="nil"/>
              <w:bottom w:val="single" w:sz="12" w:space="0" w:color="auto"/>
              <w:right w:val="nil"/>
            </w:tcBorders>
          </w:tcPr>
          <w:p w14:paraId="3CE6B303" w14:textId="77777777" w:rsidR="001A4DC6" w:rsidRDefault="001A4DC6" w:rsidP="00244B01">
            <w:pPr>
              <w:pStyle w:val="FSTableHeading"/>
              <w:keepLines/>
              <w:widowControl/>
              <w:jc w:val="left"/>
            </w:pPr>
            <w:r>
              <w:t xml:space="preserve">Notes on impact </w:t>
            </w:r>
          </w:p>
        </w:tc>
      </w:tr>
      <w:tr w:rsidR="001A4DC6" w14:paraId="34B0E20B" w14:textId="77777777" w:rsidTr="00E034B8">
        <w:trPr>
          <w:cantSplit/>
        </w:trPr>
        <w:tc>
          <w:tcPr>
            <w:tcW w:w="1979" w:type="dxa"/>
            <w:tcBorders>
              <w:top w:val="single" w:sz="12" w:space="0" w:color="auto"/>
              <w:left w:val="nil"/>
              <w:bottom w:val="nil"/>
              <w:right w:val="nil"/>
            </w:tcBorders>
          </w:tcPr>
          <w:p w14:paraId="153E09AD" w14:textId="77777777" w:rsidR="001A4DC6" w:rsidRDefault="001A4DC6" w:rsidP="00244B01">
            <w:pPr>
              <w:keepLines/>
              <w:widowControl/>
              <w:spacing w:after="120"/>
            </w:pPr>
            <w:r>
              <w:t>Consumers</w:t>
            </w:r>
          </w:p>
        </w:tc>
        <w:tc>
          <w:tcPr>
            <w:tcW w:w="1274" w:type="dxa"/>
            <w:tcBorders>
              <w:top w:val="single" w:sz="12" w:space="0" w:color="auto"/>
              <w:left w:val="nil"/>
              <w:bottom w:val="nil"/>
              <w:right w:val="nil"/>
            </w:tcBorders>
          </w:tcPr>
          <w:p w14:paraId="0805E554" w14:textId="77777777" w:rsidR="001A4DC6" w:rsidRDefault="001A4DC6" w:rsidP="00244B01">
            <w:pPr>
              <w:keepLines/>
              <w:widowControl/>
              <w:spacing w:after="120"/>
            </w:pPr>
            <w:r>
              <w:t>Benefits</w:t>
            </w:r>
          </w:p>
        </w:tc>
        <w:tc>
          <w:tcPr>
            <w:tcW w:w="5817" w:type="dxa"/>
            <w:gridSpan w:val="2"/>
            <w:tcBorders>
              <w:top w:val="single" w:sz="12" w:space="0" w:color="auto"/>
              <w:left w:val="nil"/>
              <w:bottom w:val="nil"/>
              <w:right w:val="nil"/>
            </w:tcBorders>
          </w:tcPr>
          <w:p w14:paraId="653B72D2" w14:textId="0BE29F13" w:rsidR="001A4DC6" w:rsidRDefault="001A4DC6" w:rsidP="00244B01">
            <w:pPr>
              <w:keepLines/>
              <w:widowControl/>
              <w:spacing w:after="120"/>
            </w:pPr>
            <w:r>
              <w:t xml:space="preserve">Reduced risk of </w:t>
            </w:r>
            <w:r w:rsidR="009B0E57">
              <w:t xml:space="preserve">food </w:t>
            </w:r>
            <w:r>
              <w:t>poisoning</w:t>
            </w:r>
          </w:p>
        </w:tc>
      </w:tr>
      <w:tr w:rsidR="00694BD7" w14:paraId="2F31518A" w14:textId="77777777" w:rsidTr="001B79E0">
        <w:trPr>
          <w:gridAfter w:val="1"/>
          <w:wAfter w:w="44" w:type="dxa"/>
          <w:cantSplit/>
        </w:trPr>
        <w:tc>
          <w:tcPr>
            <w:tcW w:w="1979" w:type="dxa"/>
            <w:tcBorders>
              <w:top w:val="nil"/>
              <w:left w:val="nil"/>
              <w:bottom w:val="nil"/>
              <w:right w:val="nil"/>
            </w:tcBorders>
          </w:tcPr>
          <w:p w14:paraId="46927C12" w14:textId="77777777" w:rsidR="00FD0884" w:rsidRDefault="00FD0884" w:rsidP="00244B01">
            <w:pPr>
              <w:keepLines/>
              <w:widowControl/>
              <w:spacing w:after="120"/>
            </w:pPr>
          </w:p>
        </w:tc>
        <w:tc>
          <w:tcPr>
            <w:tcW w:w="1274" w:type="dxa"/>
            <w:tcBorders>
              <w:top w:val="nil"/>
              <w:left w:val="nil"/>
              <w:bottom w:val="nil"/>
              <w:right w:val="nil"/>
            </w:tcBorders>
          </w:tcPr>
          <w:p w14:paraId="7CAE9215" w14:textId="7807728C" w:rsidR="00FD0884" w:rsidRDefault="00FD0884" w:rsidP="00244B01">
            <w:pPr>
              <w:keepLines/>
              <w:widowControl/>
              <w:spacing w:after="120"/>
            </w:pPr>
            <w:r>
              <w:t>Costs</w:t>
            </w:r>
          </w:p>
        </w:tc>
        <w:tc>
          <w:tcPr>
            <w:tcW w:w="5817" w:type="dxa"/>
            <w:tcBorders>
              <w:top w:val="nil"/>
              <w:left w:val="nil"/>
              <w:bottom w:val="nil"/>
              <w:right w:val="nil"/>
            </w:tcBorders>
          </w:tcPr>
          <w:p w14:paraId="50271DC6" w14:textId="457DBA49" w:rsidR="00FD0884" w:rsidRDefault="00FD0884" w:rsidP="00244B01">
            <w:pPr>
              <w:keepLines/>
              <w:widowControl/>
              <w:spacing w:after="120"/>
            </w:pPr>
            <w:r>
              <w:t>Potential for higher prices of impacted seafood</w:t>
            </w:r>
            <w:r w:rsidR="00AF36FE">
              <w:t>, due to potential for increased closures (less supply) and higher testing costs</w:t>
            </w:r>
          </w:p>
        </w:tc>
      </w:tr>
      <w:tr w:rsidR="001A4DC6" w14:paraId="06D8E8DB" w14:textId="77777777" w:rsidTr="00E034B8">
        <w:trPr>
          <w:cantSplit/>
        </w:trPr>
        <w:tc>
          <w:tcPr>
            <w:tcW w:w="1979" w:type="dxa"/>
            <w:tcBorders>
              <w:top w:val="nil"/>
              <w:left w:val="nil"/>
              <w:bottom w:val="nil"/>
              <w:right w:val="nil"/>
            </w:tcBorders>
          </w:tcPr>
          <w:p w14:paraId="00DC8E3A" w14:textId="77777777" w:rsidR="001A4DC6" w:rsidRDefault="001A4DC6" w:rsidP="00244B01">
            <w:pPr>
              <w:keepLines/>
              <w:widowControl/>
              <w:spacing w:after="120"/>
            </w:pPr>
            <w:r>
              <w:t>Seafood industry</w:t>
            </w:r>
          </w:p>
        </w:tc>
        <w:tc>
          <w:tcPr>
            <w:tcW w:w="1274" w:type="dxa"/>
            <w:tcBorders>
              <w:top w:val="nil"/>
              <w:left w:val="nil"/>
              <w:bottom w:val="nil"/>
              <w:right w:val="nil"/>
            </w:tcBorders>
          </w:tcPr>
          <w:p w14:paraId="2848EC76" w14:textId="77777777" w:rsidR="001A4DC6" w:rsidRDefault="001A4DC6" w:rsidP="00244B01">
            <w:pPr>
              <w:keepLines/>
              <w:widowControl/>
              <w:spacing w:after="120"/>
            </w:pPr>
            <w:r>
              <w:t>Benefits</w:t>
            </w:r>
          </w:p>
        </w:tc>
        <w:tc>
          <w:tcPr>
            <w:tcW w:w="5817" w:type="dxa"/>
            <w:gridSpan w:val="2"/>
            <w:tcBorders>
              <w:top w:val="nil"/>
              <w:left w:val="nil"/>
              <w:bottom w:val="nil"/>
              <w:right w:val="nil"/>
            </w:tcBorders>
          </w:tcPr>
          <w:p w14:paraId="3BC948DE" w14:textId="51E8C804" w:rsidR="000F4CF3" w:rsidRDefault="001A4DC6" w:rsidP="00244B01">
            <w:pPr>
              <w:keepLines/>
              <w:widowControl/>
              <w:spacing w:after="120"/>
            </w:pPr>
            <w:r>
              <w:t>Improved harmonisation with international standards</w:t>
            </w:r>
            <w:r w:rsidR="00E5348E">
              <w:t xml:space="preserve">, </w:t>
            </w:r>
            <w:r w:rsidR="00C91817">
              <w:t xml:space="preserve">potentially lowering costs for exporting businesses </w:t>
            </w:r>
          </w:p>
          <w:p w14:paraId="07D0DEAC" w14:textId="2C7BA985" w:rsidR="00B65368" w:rsidRDefault="000F4CF3" w:rsidP="00244B01">
            <w:pPr>
              <w:keepLines/>
              <w:widowControl/>
              <w:spacing w:after="120"/>
            </w:pPr>
            <w:r>
              <w:t xml:space="preserve">Potential increased demand, </w:t>
            </w:r>
            <w:r w:rsidR="000E197D">
              <w:t>resulting from</w:t>
            </w:r>
            <w:r>
              <w:t xml:space="preserve"> </w:t>
            </w:r>
            <w:r w:rsidR="00B65368">
              <w:t>increased trust from consumers in the safety of seafood products</w:t>
            </w:r>
          </w:p>
          <w:p w14:paraId="10A436D9" w14:textId="4FD910AB" w:rsidR="001A4DC6" w:rsidRDefault="00E731B0" w:rsidP="00694663">
            <w:pPr>
              <w:keepLines/>
              <w:widowControl/>
              <w:spacing w:after="120"/>
            </w:pPr>
            <w:r>
              <w:t xml:space="preserve">Potential </w:t>
            </w:r>
            <w:r w:rsidR="000E197D">
              <w:t>positive</w:t>
            </w:r>
            <w:r>
              <w:t xml:space="preserve"> financial</w:t>
            </w:r>
            <w:r w:rsidR="000E197D">
              <w:t xml:space="preserve"> (and other)</w:t>
            </w:r>
            <w:r>
              <w:t xml:space="preserve"> </w:t>
            </w:r>
            <w:r w:rsidR="000E197D">
              <w:t>short term and long term benefits, resulting from r</w:t>
            </w:r>
            <w:r w:rsidR="00E10CF8">
              <w:t>educed risk of food safety incidents</w:t>
            </w:r>
            <w:r w:rsidR="0012519F">
              <w:t xml:space="preserve"> </w:t>
            </w:r>
          </w:p>
        </w:tc>
      </w:tr>
      <w:tr w:rsidR="001A4DC6" w14:paraId="3776B5F5" w14:textId="77777777" w:rsidTr="00E034B8">
        <w:trPr>
          <w:cantSplit/>
        </w:trPr>
        <w:tc>
          <w:tcPr>
            <w:tcW w:w="1979" w:type="dxa"/>
            <w:tcBorders>
              <w:top w:val="nil"/>
              <w:left w:val="nil"/>
              <w:bottom w:val="nil"/>
              <w:right w:val="nil"/>
            </w:tcBorders>
          </w:tcPr>
          <w:p w14:paraId="4A69D65D" w14:textId="77777777" w:rsidR="001A4DC6" w:rsidRDefault="001A4DC6" w:rsidP="00244B01">
            <w:pPr>
              <w:keepLines/>
              <w:widowControl/>
              <w:spacing w:after="120"/>
              <w:ind w:left="567"/>
            </w:pPr>
          </w:p>
        </w:tc>
        <w:tc>
          <w:tcPr>
            <w:tcW w:w="1274" w:type="dxa"/>
            <w:tcBorders>
              <w:top w:val="nil"/>
              <w:left w:val="nil"/>
              <w:bottom w:val="nil"/>
              <w:right w:val="nil"/>
            </w:tcBorders>
          </w:tcPr>
          <w:p w14:paraId="595183D7" w14:textId="77777777" w:rsidR="001A4DC6" w:rsidRDefault="001A4DC6" w:rsidP="00244B01">
            <w:pPr>
              <w:keepLines/>
              <w:widowControl/>
              <w:spacing w:after="120"/>
            </w:pPr>
            <w:r>
              <w:t>Costs</w:t>
            </w:r>
          </w:p>
        </w:tc>
        <w:tc>
          <w:tcPr>
            <w:tcW w:w="5817" w:type="dxa"/>
            <w:gridSpan w:val="2"/>
            <w:tcBorders>
              <w:top w:val="nil"/>
              <w:left w:val="nil"/>
              <w:bottom w:val="nil"/>
              <w:right w:val="nil"/>
            </w:tcBorders>
          </w:tcPr>
          <w:p w14:paraId="273BAD5E" w14:textId="55615F9D" w:rsidR="001A4DC6" w:rsidRDefault="005400E1" w:rsidP="00244B01">
            <w:pPr>
              <w:keepLines/>
              <w:widowControl/>
              <w:spacing w:after="120"/>
            </w:pPr>
            <w:r>
              <w:t>Potential for m</w:t>
            </w:r>
            <w:r w:rsidR="001A4DC6">
              <w:t>ore frequent closures</w:t>
            </w:r>
            <w:r w:rsidR="00FB6B7E">
              <w:t xml:space="preserve">, resulting in </w:t>
            </w:r>
            <w:r w:rsidR="005904F3">
              <w:t>opportunity costs</w:t>
            </w:r>
            <w:r w:rsidR="0027003D">
              <w:t xml:space="preserve"> and potential stock losses </w:t>
            </w:r>
          </w:p>
        </w:tc>
      </w:tr>
      <w:tr w:rsidR="001A4DC6" w14:paraId="75B68085" w14:textId="77777777" w:rsidTr="00E034B8">
        <w:trPr>
          <w:cantSplit/>
        </w:trPr>
        <w:tc>
          <w:tcPr>
            <w:tcW w:w="1979" w:type="dxa"/>
            <w:tcBorders>
              <w:top w:val="nil"/>
              <w:left w:val="nil"/>
              <w:bottom w:val="single" w:sz="18" w:space="0" w:color="auto"/>
              <w:right w:val="nil"/>
            </w:tcBorders>
          </w:tcPr>
          <w:p w14:paraId="602F446E" w14:textId="77777777" w:rsidR="001A4DC6" w:rsidRDefault="001A4DC6" w:rsidP="00814F71">
            <w:pPr>
              <w:keepLines/>
              <w:widowControl/>
              <w:spacing w:after="120"/>
            </w:pPr>
            <w:r>
              <w:t>Government</w:t>
            </w:r>
          </w:p>
        </w:tc>
        <w:tc>
          <w:tcPr>
            <w:tcW w:w="1274" w:type="dxa"/>
            <w:tcBorders>
              <w:top w:val="nil"/>
              <w:left w:val="nil"/>
              <w:bottom w:val="single" w:sz="18" w:space="0" w:color="auto"/>
              <w:right w:val="nil"/>
            </w:tcBorders>
          </w:tcPr>
          <w:p w14:paraId="1061144B" w14:textId="77777777" w:rsidR="001A4DC6" w:rsidRDefault="001A4DC6" w:rsidP="00244B01">
            <w:pPr>
              <w:keepLines/>
              <w:widowControl/>
              <w:spacing w:after="120"/>
            </w:pPr>
            <w:r>
              <w:t>Benefits</w:t>
            </w:r>
          </w:p>
        </w:tc>
        <w:tc>
          <w:tcPr>
            <w:tcW w:w="5817" w:type="dxa"/>
            <w:gridSpan w:val="2"/>
            <w:tcBorders>
              <w:top w:val="nil"/>
              <w:left w:val="nil"/>
              <w:bottom w:val="single" w:sz="18" w:space="0" w:color="auto"/>
              <w:right w:val="nil"/>
            </w:tcBorders>
          </w:tcPr>
          <w:p w14:paraId="09995F3D" w14:textId="139DEEAB" w:rsidR="000F4CF3" w:rsidRDefault="00040F5E" w:rsidP="00244B01">
            <w:pPr>
              <w:keepLines/>
              <w:widowControl/>
              <w:spacing w:after="120"/>
            </w:pPr>
            <w:r>
              <w:t xml:space="preserve">Potential </w:t>
            </w:r>
            <w:r w:rsidR="005400E1">
              <w:t>r</w:t>
            </w:r>
            <w:r w:rsidR="001A4DC6">
              <w:t>educed health expenditure</w:t>
            </w:r>
          </w:p>
          <w:p w14:paraId="77543D09" w14:textId="2CD9C76D" w:rsidR="001A4DC6" w:rsidRDefault="000F4CF3" w:rsidP="00244B01">
            <w:pPr>
              <w:keepLines/>
              <w:widowControl/>
              <w:spacing w:after="120"/>
            </w:pPr>
            <w:r>
              <w:t>S</w:t>
            </w:r>
            <w:r w:rsidR="001A4DC6">
              <w:t xml:space="preserve">implified enforcement </w:t>
            </w:r>
          </w:p>
        </w:tc>
      </w:tr>
    </w:tbl>
    <w:p w14:paraId="4784DF48" w14:textId="77777777" w:rsidR="00477A0E" w:rsidRDefault="00477A0E" w:rsidP="001A4DC6"/>
    <w:p w14:paraId="0593EABE" w14:textId="34757A63" w:rsidR="00477A0E" w:rsidRDefault="00FD0884" w:rsidP="001A4DC6">
      <w:r>
        <w:t xml:space="preserve">It is important to note that </w:t>
      </w:r>
      <w:r w:rsidR="00C22535">
        <w:t>some cos</w:t>
      </w:r>
      <w:r w:rsidR="00D257E5">
        <w:t xml:space="preserve">t and/or benefits </w:t>
      </w:r>
      <w:r w:rsidR="000F4CF3">
        <w:t xml:space="preserve">identified in Table 1 </w:t>
      </w:r>
      <w:r w:rsidR="00E2198C">
        <w:t xml:space="preserve">would </w:t>
      </w:r>
      <w:r w:rsidR="00D257E5">
        <w:t xml:space="preserve">flow from one impacted group to another. </w:t>
      </w:r>
      <w:r w:rsidR="000F4CF3">
        <w:t xml:space="preserve">The increased cost of testing may be passed on by the seafood industry, reducing the impact on the industry and increasing costs for consumers (to the extent that the industry is able to pass on costs). </w:t>
      </w:r>
    </w:p>
    <w:p w14:paraId="2DA302E7" w14:textId="77777777" w:rsidR="00477A0E" w:rsidRDefault="00477A0E" w:rsidP="00477A0E"/>
    <w:p w14:paraId="029771AC" w14:textId="30F2CACB" w:rsidR="001A4DC6" w:rsidRDefault="00477A0E" w:rsidP="001A4DC6">
      <w:r>
        <w:t xml:space="preserve">The impacts </w:t>
      </w:r>
      <w:r w:rsidR="00E2198C">
        <w:t xml:space="preserve">would </w:t>
      </w:r>
      <w:r>
        <w:t xml:space="preserve">only occur in Australia. New Zealand has already adopted the lower thresholds </w:t>
      </w:r>
      <w:r w:rsidR="000E4B67">
        <w:t xml:space="preserve">to manage the harvest of bivalve molluscs, </w:t>
      </w:r>
      <w:r>
        <w:t xml:space="preserve">through the Regulated Control Scheme – </w:t>
      </w:r>
      <w:r w:rsidRPr="002E6F7C">
        <w:t>Bivalve Molluscan Shellfish for Human Consumption</w:t>
      </w:r>
      <w:r>
        <w:t>. Therefore, in New Zealand</w:t>
      </w:r>
      <w:r w:rsidR="00FF2109">
        <w:t>,</w:t>
      </w:r>
      <w:r>
        <w:t xml:space="preserve"> there </w:t>
      </w:r>
      <w:r w:rsidR="00E2198C">
        <w:t xml:space="preserve">would </w:t>
      </w:r>
      <w:r>
        <w:t>effectively be no change to the status quo.</w:t>
      </w:r>
    </w:p>
    <w:p w14:paraId="51B33CDB" w14:textId="77777777" w:rsidR="001A4DC6" w:rsidRDefault="001A4DC6" w:rsidP="00C50BEA">
      <w:pPr>
        <w:pStyle w:val="Heading2"/>
      </w:pPr>
      <w:bookmarkStart w:id="16" w:name="_Toc139031139"/>
      <w:r>
        <w:t>Questions for stakeholders</w:t>
      </w:r>
      <w:bookmarkEnd w:id="16"/>
    </w:p>
    <w:p w14:paraId="643277E9" w14:textId="6FB597E3" w:rsidR="001A4DC6" w:rsidRDefault="001A4DC6" w:rsidP="001A4DC6">
      <w:r>
        <w:t xml:space="preserve">FSANZ has relied on the best available information (primarily from the </w:t>
      </w:r>
      <w:r w:rsidR="006F7330">
        <w:t>a</w:t>
      </w:r>
      <w:r>
        <w:t xml:space="preserve">pplication) to inform the consideration of costs and benefits. </w:t>
      </w:r>
    </w:p>
    <w:p w14:paraId="731966BC" w14:textId="77777777" w:rsidR="00D96970" w:rsidRDefault="00D96970" w:rsidP="001A4DC6"/>
    <w:p w14:paraId="4B7DB90B" w14:textId="6A7571F5" w:rsidR="00D96970" w:rsidRDefault="00144EAE" w:rsidP="001A4DC6">
      <w:r>
        <w:t xml:space="preserve">FSANZ has been unable to quantify the impacts in dollar terms. </w:t>
      </w:r>
    </w:p>
    <w:p w14:paraId="7F2F18CE" w14:textId="77777777" w:rsidR="001A4DC6" w:rsidRDefault="001A4DC6" w:rsidP="001A4DC6"/>
    <w:p w14:paraId="4CD79E02" w14:textId="75A60DE7" w:rsidR="001A4DC6" w:rsidRDefault="001A4DC6" w:rsidP="001A4DC6">
      <w:r>
        <w:t xml:space="preserve">We are seeking additional information from stakeholders to test our assumptions and improve the analysis for the Approval Report.  </w:t>
      </w:r>
      <w:r w:rsidR="008C3352">
        <w:t xml:space="preserve">To </w:t>
      </w:r>
      <w:r w:rsidR="00104C55">
        <w:t xml:space="preserve">elicit </w:t>
      </w:r>
      <w:r w:rsidR="008C3352">
        <w:t xml:space="preserve">this information, we have posed a number of questions throughout this document. </w:t>
      </w:r>
    </w:p>
    <w:p w14:paraId="06D58048" w14:textId="77777777" w:rsidR="001A4DC6" w:rsidRDefault="001A4DC6" w:rsidP="001A4DC6"/>
    <w:p w14:paraId="47A6FD8F" w14:textId="5BEA3F26" w:rsidR="001A4DC6" w:rsidRDefault="001A4DC6" w:rsidP="001A4DC6">
      <w:r w:rsidRPr="00A74C81">
        <w:t xml:space="preserve">Refer to Attachment </w:t>
      </w:r>
      <w:r w:rsidR="00BD1B74" w:rsidRPr="00A74C81">
        <w:t>A</w:t>
      </w:r>
      <w:r w:rsidRPr="00A74C81">
        <w:t xml:space="preserve"> for the full</w:t>
      </w:r>
      <w:r>
        <w:t xml:space="preserve"> list of questions. </w:t>
      </w:r>
    </w:p>
    <w:p w14:paraId="6C5A21A6" w14:textId="77777777" w:rsidR="001A4DC6" w:rsidRDefault="001A4DC6" w:rsidP="001A4DC6"/>
    <w:p w14:paraId="53D06F90" w14:textId="786A0EEA" w:rsidR="001A4DC6" w:rsidRDefault="001A4DC6" w:rsidP="001A4DC6">
      <w:pPr>
        <w:pBdr>
          <w:top w:val="single" w:sz="4" w:space="1" w:color="auto"/>
          <w:left w:val="single" w:sz="4" w:space="4" w:color="auto"/>
          <w:bottom w:val="single" w:sz="4" w:space="1" w:color="auto"/>
          <w:right w:val="single" w:sz="4" w:space="4" w:color="auto"/>
        </w:pBdr>
      </w:pPr>
      <w:r>
        <w:t xml:space="preserve">Question </w:t>
      </w:r>
      <w:r>
        <w:fldChar w:fldCharType="begin"/>
      </w:r>
      <w:r>
        <w:instrText>seq ques</w:instrText>
      </w:r>
      <w:r>
        <w:fldChar w:fldCharType="separate"/>
      </w:r>
      <w:r w:rsidR="00B77F3A">
        <w:rPr>
          <w:noProof/>
        </w:rPr>
        <w:t>1</w:t>
      </w:r>
      <w:r>
        <w:fldChar w:fldCharType="end"/>
      </w:r>
      <w:r>
        <w:t xml:space="preserve">: Are there any </w:t>
      </w:r>
      <w:r w:rsidR="00A74C81">
        <w:t>significant</w:t>
      </w:r>
      <w:r>
        <w:t xml:space="preserve"> impacts missing from table 1?</w:t>
      </w:r>
    </w:p>
    <w:p w14:paraId="3ADB2CA5" w14:textId="0D48F19C" w:rsidR="001A4DC6" w:rsidRPr="002C09C5" w:rsidRDefault="001A4DC6" w:rsidP="00C50BEA">
      <w:pPr>
        <w:pStyle w:val="Heading2"/>
      </w:pPr>
      <w:bookmarkStart w:id="17" w:name="_Toc139031140"/>
      <w:r>
        <w:t>Impacts on consumers</w:t>
      </w:r>
      <w:bookmarkEnd w:id="17"/>
    </w:p>
    <w:p w14:paraId="054C7B67" w14:textId="7E705F5C" w:rsidR="001A4DC6" w:rsidRDefault="00304CCC" w:rsidP="00304CCC">
      <w:pPr>
        <w:pStyle w:val="Heading3"/>
      </w:pPr>
      <w:bookmarkStart w:id="18" w:name="_Toc139031141"/>
      <w:r>
        <w:t xml:space="preserve">Impact on </w:t>
      </w:r>
      <w:r w:rsidR="001A4DC6">
        <w:t>food safety for consumers</w:t>
      </w:r>
      <w:bookmarkEnd w:id="18"/>
    </w:p>
    <w:p w14:paraId="5726C4D7" w14:textId="7E2DECE9" w:rsidR="00320094" w:rsidRDefault="00320094" w:rsidP="001A4DC6">
      <w:pPr>
        <w:rPr>
          <w:lang w:bidi="ar-SA"/>
        </w:rPr>
      </w:pPr>
      <w:r>
        <w:rPr>
          <w:lang w:bidi="ar-SA"/>
        </w:rPr>
        <w:t xml:space="preserve">Updating the MLs referenced in the Code </w:t>
      </w:r>
      <w:r w:rsidR="003C1A94">
        <w:rPr>
          <w:lang w:bidi="ar-SA"/>
        </w:rPr>
        <w:t>is a health protective measure</w:t>
      </w:r>
      <w:r w:rsidR="002D0B3A">
        <w:rPr>
          <w:lang w:bidi="ar-SA"/>
        </w:rPr>
        <w:t xml:space="preserve">. </w:t>
      </w:r>
    </w:p>
    <w:p w14:paraId="0F7E80A9" w14:textId="77777777" w:rsidR="00320094" w:rsidRDefault="00320094" w:rsidP="001A4DC6">
      <w:pPr>
        <w:rPr>
          <w:lang w:bidi="ar-SA"/>
        </w:rPr>
      </w:pPr>
    </w:p>
    <w:p w14:paraId="6226E081" w14:textId="21EEBEA6" w:rsidR="001A4DC6" w:rsidRDefault="003272E4" w:rsidP="001A4DC6">
      <w:pPr>
        <w:rPr>
          <w:lang w:bidi="ar-SA"/>
        </w:rPr>
      </w:pPr>
      <w:r>
        <w:rPr>
          <w:lang w:bidi="ar-SA"/>
        </w:rPr>
        <w:lastRenderedPageBreak/>
        <w:t>The h</w:t>
      </w:r>
      <w:r w:rsidR="001A4DC6">
        <w:rPr>
          <w:lang w:bidi="ar-SA"/>
        </w:rPr>
        <w:t>igh toxicity of DST and PST, as well as a low safety margin, means that consumption of the toxins can have severe health impacts where toxins are consumed</w:t>
      </w:r>
      <w:r w:rsidR="000A14E4">
        <w:rPr>
          <w:lang w:bidi="ar-SA"/>
        </w:rPr>
        <w:t>.</w:t>
      </w:r>
      <w:r w:rsidR="001A4DC6">
        <w:rPr>
          <w:lang w:bidi="ar-SA"/>
        </w:rPr>
        <w:t xml:space="preserve"> </w:t>
      </w:r>
    </w:p>
    <w:p w14:paraId="686F6751" w14:textId="77777777" w:rsidR="00320094" w:rsidRDefault="00320094" w:rsidP="001A4DC6">
      <w:pPr>
        <w:rPr>
          <w:lang w:bidi="ar-SA"/>
        </w:rPr>
      </w:pPr>
    </w:p>
    <w:p w14:paraId="104B3077" w14:textId="1C5D1E74" w:rsidR="00F8213A" w:rsidRDefault="000A14E4" w:rsidP="001A4DC6">
      <w:pPr>
        <w:rPr>
          <w:lang w:bidi="ar-SA"/>
        </w:rPr>
      </w:pPr>
      <w:r>
        <w:rPr>
          <w:lang w:bidi="ar-SA"/>
        </w:rPr>
        <w:t>T</w:t>
      </w:r>
      <w:r w:rsidR="00D1651E" w:rsidRPr="00D1651E">
        <w:rPr>
          <w:lang w:bidi="ar-SA"/>
        </w:rPr>
        <w:t>he MLs in the Code have been in place since 1999. Since that time, Codex adopted a standard in 2008, which includes MLs for biotoxins based on more recent risk assessments published by the FAO and WHO</w:t>
      </w:r>
      <w:r>
        <w:rPr>
          <w:lang w:bidi="ar-SA"/>
        </w:rPr>
        <w:t>,</w:t>
      </w:r>
      <w:r w:rsidR="00D1651E" w:rsidRPr="00D1651E">
        <w:rPr>
          <w:lang w:bidi="ar-SA"/>
        </w:rPr>
        <w:t xml:space="preserve"> and EFSA. </w:t>
      </w:r>
    </w:p>
    <w:p w14:paraId="177C5654" w14:textId="77777777" w:rsidR="00C7513E" w:rsidRDefault="00C7513E" w:rsidP="001A4DC6">
      <w:pPr>
        <w:rPr>
          <w:lang w:bidi="ar-SA"/>
        </w:rPr>
      </w:pPr>
    </w:p>
    <w:p w14:paraId="3A8A81FF" w14:textId="15FA6293" w:rsidR="00C7513E" w:rsidRDefault="0077415E" w:rsidP="001A4DC6">
      <w:pPr>
        <w:rPr>
          <w:lang w:bidi="ar-SA"/>
        </w:rPr>
      </w:pPr>
      <w:r>
        <w:rPr>
          <w:lang w:bidi="ar-SA"/>
        </w:rPr>
        <w:t xml:space="preserve">Accepting the application </w:t>
      </w:r>
      <w:r w:rsidR="00B0507C">
        <w:rPr>
          <w:lang w:bidi="ar-SA"/>
        </w:rPr>
        <w:t xml:space="preserve">recognises the new information </w:t>
      </w:r>
      <w:r w:rsidR="00064F85">
        <w:rPr>
          <w:lang w:bidi="ar-SA"/>
        </w:rPr>
        <w:t>(that Codex is based on)</w:t>
      </w:r>
      <w:r w:rsidR="00AD41CE">
        <w:rPr>
          <w:lang w:bidi="ar-SA"/>
        </w:rPr>
        <w:t xml:space="preserve">. It follows </w:t>
      </w:r>
      <w:r w:rsidR="00064F85">
        <w:rPr>
          <w:lang w:bidi="ar-SA"/>
        </w:rPr>
        <w:t xml:space="preserve">that the level of risk </w:t>
      </w:r>
      <w:r w:rsidR="003D7120">
        <w:rPr>
          <w:lang w:bidi="ar-SA"/>
        </w:rPr>
        <w:t xml:space="preserve">to public health and safety </w:t>
      </w:r>
      <w:r w:rsidR="007909BC">
        <w:rPr>
          <w:lang w:bidi="ar-SA"/>
        </w:rPr>
        <w:t xml:space="preserve">would </w:t>
      </w:r>
      <w:r w:rsidR="00C07AAB">
        <w:rPr>
          <w:lang w:bidi="ar-SA"/>
        </w:rPr>
        <w:t xml:space="preserve">at least </w:t>
      </w:r>
      <w:r w:rsidR="007F563D">
        <w:rPr>
          <w:lang w:bidi="ar-SA"/>
        </w:rPr>
        <w:t xml:space="preserve">be </w:t>
      </w:r>
      <w:r w:rsidR="00C07AAB">
        <w:rPr>
          <w:lang w:bidi="ar-SA"/>
        </w:rPr>
        <w:t xml:space="preserve">maintained, and may be reduced. </w:t>
      </w:r>
    </w:p>
    <w:p w14:paraId="1BECC7CE" w14:textId="77777777" w:rsidR="00064F85" w:rsidRDefault="00064F85" w:rsidP="001A4DC6">
      <w:pPr>
        <w:rPr>
          <w:lang w:bidi="ar-SA"/>
        </w:rPr>
      </w:pPr>
    </w:p>
    <w:p w14:paraId="10B9EC5F" w14:textId="274747FC" w:rsidR="00064F85" w:rsidRDefault="00C07AAB" w:rsidP="001A4DC6">
      <w:pPr>
        <w:rPr>
          <w:lang w:bidi="ar-SA"/>
        </w:rPr>
      </w:pPr>
      <w:r>
        <w:rPr>
          <w:lang w:bidi="ar-SA"/>
        </w:rPr>
        <w:t>Therefore</w:t>
      </w:r>
      <w:r w:rsidR="00B968E5">
        <w:rPr>
          <w:lang w:bidi="ar-SA"/>
        </w:rPr>
        <w:t xml:space="preserve">, consumers may </w:t>
      </w:r>
      <w:r w:rsidR="00A301D8">
        <w:rPr>
          <w:lang w:bidi="ar-SA"/>
        </w:rPr>
        <w:t xml:space="preserve">benefit from reduced adverse health impacts </w:t>
      </w:r>
      <w:r w:rsidR="002B5231">
        <w:rPr>
          <w:lang w:bidi="ar-SA"/>
        </w:rPr>
        <w:t>due to</w:t>
      </w:r>
      <w:r w:rsidR="00A301D8">
        <w:rPr>
          <w:lang w:bidi="ar-SA"/>
        </w:rPr>
        <w:t xml:space="preserve"> food pois</w:t>
      </w:r>
      <w:r w:rsidR="009C6D11">
        <w:rPr>
          <w:lang w:bidi="ar-SA"/>
        </w:rPr>
        <w:t>on</w:t>
      </w:r>
      <w:r w:rsidR="00A301D8">
        <w:rPr>
          <w:lang w:bidi="ar-SA"/>
        </w:rPr>
        <w:t xml:space="preserve">ing. </w:t>
      </w:r>
    </w:p>
    <w:p w14:paraId="53CA549D" w14:textId="77777777" w:rsidR="001A4DC6" w:rsidRDefault="001A4DC6" w:rsidP="001A4DC6">
      <w:pPr>
        <w:rPr>
          <w:lang w:bidi="ar-SA"/>
        </w:rPr>
      </w:pPr>
    </w:p>
    <w:p w14:paraId="1AC0AA63" w14:textId="6907E4A3" w:rsidR="00C50BEA" w:rsidRPr="000F605B" w:rsidRDefault="001A4DC6" w:rsidP="008C3352">
      <w:pPr>
        <w:pBdr>
          <w:top w:val="single" w:sz="4" w:space="1" w:color="auto"/>
          <w:left w:val="single" w:sz="4" w:space="4" w:color="auto"/>
          <w:bottom w:val="single" w:sz="4" w:space="1" w:color="auto"/>
          <w:right w:val="single" w:sz="4" w:space="4" w:color="auto"/>
        </w:pBdr>
        <w:rPr>
          <w:lang w:bidi="ar-SA"/>
        </w:rPr>
      </w:pPr>
      <w:r w:rsidRPr="00DC7B04">
        <w:rPr>
          <w:lang w:bidi="ar-SA"/>
        </w:rPr>
        <w:t xml:space="preserve">Question </w:t>
      </w:r>
      <w:r>
        <w:rPr>
          <w:lang w:bidi="ar-SA"/>
        </w:rPr>
        <w:fldChar w:fldCharType="begin"/>
      </w:r>
      <w:r>
        <w:rPr>
          <w:lang w:bidi="ar-SA"/>
        </w:rPr>
        <w:instrText xml:space="preserve"> seq ques </w:instrText>
      </w:r>
      <w:r>
        <w:rPr>
          <w:lang w:bidi="ar-SA"/>
        </w:rPr>
        <w:fldChar w:fldCharType="separate"/>
      </w:r>
      <w:r w:rsidR="00B77F3A">
        <w:rPr>
          <w:noProof/>
          <w:lang w:bidi="ar-SA"/>
        </w:rPr>
        <w:t>2</w:t>
      </w:r>
      <w:r>
        <w:rPr>
          <w:lang w:bidi="ar-SA"/>
        </w:rPr>
        <w:fldChar w:fldCharType="end"/>
      </w:r>
      <w:r w:rsidRPr="00DC7B04">
        <w:rPr>
          <w:lang w:bidi="ar-SA"/>
        </w:rPr>
        <w:t>: Do you</w:t>
      </w:r>
      <w:r>
        <w:rPr>
          <w:lang w:bidi="ar-SA"/>
        </w:rPr>
        <w:t xml:space="preserve"> have any data that can be used to quantify the </w:t>
      </w:r>
      <w:r w:rsidR="00AD7603">
        <w:rPr>
          <w:lang w:bidi="ar-SA"/>
        </w:rPr>
        <w:t>potential reduction in foodborne illnesses</w:t>
      </w:r>
      <w:r>
        <w:rPr>
          <w:lang w:bidi="ar-SA"/>
        </w:rPr>
        <w:t xml:space="preserve">?  </w:t>
      </w:r>
    </w:p>
    <w:p w14:paraId="6C12A809" w14:textId="72328010" w:rsidR="00C50BEA" w:rsidRDefault="00AA5726" w:rsidP="00E034B8">
      <w:pPr>
        <w:pStyle w:val="Heading3"/>
      </w:pPr>
      <w:bookmarkStart w:id="19" w:name="_Toc139031142"/>
      <w:bookmarkStart w:id="20" w:name="_Ref125023263"/>
      <w:r>
        <w:t xml:space="preserve">Impact on </w:t>
      </w:r>
      <w:r w:rsidR="006D76F2">
        <w:t>prices for impacted products</w:t>
      </w:r>
      <w:bookmarkEnd w:id="19"/>
      <w:r w:rsidR="006D76F2">
        <w:t xml:space="preserve"> </w:t>
      </w:r>
    </w:p>
    <w:p w14:paraId="138CDA8D" w14:textId="528DC6F6" w:rsidR="00AA5726" w:rsidRPr="00AA5726" w:rsidRDefault="00686C89" w:rsidP="00E034B8">
      <w:r>
        <w:rPr>
          <w:lang w:bidi="ar-SA"/>
        </w:rPr>
        <w:t>There is a p</w:t>
      </w:r>
      <w:r w:rsidR="00C6767D" w:rsidRPr="00C6767D">
        <w:rPr>
          <w:lang w:bidi="ar-SA"/>
        </w:rPr>
        <w:t xml:space="preserve">otential for </w:t>
      </w:r>
      <w:r w:rsidR="00752844">
        <w:rPr>
          <w:lang w:bidi="ar-SA"/>
        </w:rPr>
        <w:t xml:space="preserve">the </w:t>
      </w:r>
      <w:r w:rsidR="00C6767D" w:rsidRPr="00C6767D">
        <w:rPr>
          <w:lang w:bidi="ar-SA"/>
        </w:rPr>
        <w:t>prices of impacted seafood</w:t>
      </w:r>
      <w:r w:rsidR="00752844">
        <w:rPr>
          <w:lang w:bidi="ar-SA"/>
        </w:rPr>
        <w:t xml:space="preserve"> to increase</w:t>
      </w:r>
      <w:r>
        <w:rPr>
          <w:lang w:bidi="ar-SA"/>
        </w:rPr>
        <w:t>.</w:t>
      </w:r>
      <w:r w:rsidR="00752844">
        <w:rPr>
          <w:lang w:bidi="ar-SA"/>
        </w:rPr>
        <w:t xml:space="preserve"> </w:t>
      </w:r>
      <w:r>
        <w:rPr>
          <w:lang w:bidi="ar-SA"/>
        </w:rPr>
        <w:t>This is d</w:t>
      </w:r>
      <w:r w:rsidR="00C6767D" w:rsidRPr="00C6767D">
        <w:rPr>
          <w:lang w:bidi="ar-SA"/>
        </w:rPr>
        <w:t>ue to</w:t>
      </w:r>
      <w:r>
        <w:rPr>
          <w:lang w:bidi="ar-SA"/>
        </w:rPr>
        <w:t xml:space="preserve"> the</w:t>
      </w:r>
      <w:r w:rsidR="00C6767D" w:rsidRPr="00C6767D">
        <w:rPr>
          <w:lang w:bidi="ar-SA"/>
        </w:rPr>
        <w:t xml:space="preserve"> potential for </w:t>
      </w:r>
      <w:r>
        <w:rPr>
          <w:lang w:bidi="ar-SA"/>
        </w:rPr>
        <w:t xml:space="preserve">decreased supply of impacted seafood products as a result of the potential for </w:t>
      </w:r>
      <w:r w:rsidR="00C6767D" w:rsidRPr="00C6767D">
        <w:rPr>
          <w:lang w:bidi="ar-SA"/>
        </w:rPr>
        <w:t>increased closures</w:t>
      </w:r>
      <w:r>
        <w:rPr>
          <w:lang w:bidi="ar-SA"/>
        </w:rPr>
        <w:t xml:space="preserve">. </w:t>
      </w:r>
      <w:r w:rsidR="003A66C7">
        <w:rPr>
          <w:lang w:bidi="ar-SA"/>
        </w:rPr>
        <w:t xml:space="preserve">Industry </w:t>
      </w:r>
      <w:r w:rsidR="00BC2457">
        <w:rPr>
          <w:lang w:bidi="ar-SA"/>
        </w:rPr>
        <w:t xml:space="preserve">may pass on the costs of increased testing to consumers. </w:t>
      </w:r>
    </w:p>
    <w:p w14:paraId="14EEF5BB" w14:textId="621C205E" w:rsidR="001A4DC6" w:rsidRDefault="001A4DC6" w:rsidP="00C50BEA">
      <w:pPr>
        <w:pStyle w:val="Heading2"/>
      </w:pPr>
      <w:bookmarkStart w:id="21" w:name="_Toc139031143"/>
      <w:r>
        <w:t>Impacts on industry</w:t>
      </w:r>
      <w:bookmarkEnd w:id="20"/>
      <w:bookmarkEnd w:id="21"/>
      <w:r>
        <w:t xml:space="preserve"> </w:t>
      </w:r>
    </w:p>
    <w:p w14:paraId="2E55C833" w14:textId="0228FFE5" w:rsidR="001A4DC6" w:rsidRDefault="001A4DC6" w:rsidP="00E034B8">
      <w:pPr>
        <w:keepNext/>
        <w:keepLines/>
        <w:widowControl/>
        <w:rPr>
          <w:lang w:bidi="ar-SA"/>
        </w:rPr>
      </w:pPr>
      <w:r>
        <w:rPr>
          <w:lang w:bidi="ar-SA"/>
        </w:rPr>
        <w:t>Industry are expected to:</w:t>
      </w:r>
    </w:p>
    <w:p w14:paraId="2BEE0806" w14:textId="06ADB9DC" w:rsidR="001A4DC6" w:rsidRPr="00956280" w:rsidRDefault="001A4DC6" w:rsidP="00E034B8">
      <w:pPr>
        <w:pStyle w:val="FSBullet1"/>
      </w:pPr>
      <w:r w:rsidRPr="00956280">
        <w:t xml:space="preserve">Benefit from </w:t>
      </w:r>
      <w:r w:rsidR="007A1525">
        <w:t xml:space="preserve">the </w:t>
      </w:r>
      <w:r w:rsidRPr="00956280">
        <w:t>harmonisation of standards</w:t>
      </w:r>
    </w:p>
    <w:p w14:paraId="65B68A32" w14:textId="15576667" w:rsidR="001A4DC6" w:rsidRDefault="001A4DC6" w:rsidP="00956280">
      <w:pPr>
        <w:pStyle w:val="FSBullet1"/>
      </w:pPr>
      <w:r w:rsidRPr="00956280">
        <w:t xml:space="preserve">Benefit from increased consumer </w:t>
      </w:r>
      <w:r w:rsidR="009265C3" w:rsidRPr="00956280">
        <w:t>trust</w:t>
      </w:r>
    </w:p>
    <w:p w14:paraId="26E08CF6" w14:textId="63507846" w:rsidR="001A4DC6" w:rsidRDefault="001A4DC6" w:rsidP="00956280">
      <w:pPr>
        <w:pStyle w:val="FSBullet1"/>
      </w:pPr>
      <w:r w:rsidRPr="00956280">
        <w:t xml:space="preserve">Experience costs </w:t>
      </w:r>
      <w:r w:rsidR="00586F77">
        <w:t>if there are</w:t>
      </w:r>
      <w:r w:rsidR="00586F77" w:rsidRPr="00956280">
        <w:t xml:space="preserve"> </w:t>
      </w:r>
      <w:r w:rsidRPr="00956280">
        <w:t>more frequent closures</w:t>
      </w:r>
    </w:p>
    <w:p w14:paraId="4C46C547" w14:textId="12B891B8" w:rsidR="00305A53" w:rsidRPr="00305A53" w:rsidRDefault="00575907" w:rsidP="00E034B8">
      <w:pPr>
        <w:pStyle w:val="FSBullet2"/>
      </w:pPr>
      <w:r>
        <w:t>T</w:t>
      </w:r>
      <w:r w:rsidR="00192297">
        <w:t xml:space="preserve">his cost </w:t>
      </w:r>
      <w:r>
        <w:t>may</w:t>
      </w:r>
      <w:r w:rsidR="00192297">
        <w:t xml:space="preserve"> be partially offset through </w:t>
      </w:r>
      <w:r>
        <w:t>a</w:t>
      </w:r>
      <w:r w:rsidR="00192297">
        <w:t xml:space="preserve"> potential reduction in costs that would result from food safety incident</w:t>
      </w:r>
      <w:r w:rsidR="00D3516F">
        <w:t>s</w:t>
      </w:r>
      <w:r w:rsidR="007A1525">
        <w:t xml:space="preserve">, </w:t>
      </w:r>
      <w:r w:rsidR="00AE6288">
        <w:t>in potential situations where</w:t>
      </w:r>
      <w:r w:rsidR="007A1525">
        <w:t xml:space="preserve"> food safety incidents are prevented by the lower </w:t>
      </w:r>
      <w:r w:rsidR="00AE6288">
        <w:t>thresholds</w:t>
      </w:r>
    </w:p>
    <w:p w14:paraId="0F8C8952" w14:textId="77777777" w:rsidR="001A4DC6" w:rsidRDefault="001A4DC6" w:rsidP="001A4DC6">
      <w:pPr>
        <w:rPr>
          <w:lang w:bidi="ar-SA"/>
        </w:rPr>
      </w:pPr>
    </w:p>
    <w:p w14:paraId="551EA8EB" w14:textId="4EB95093" w:rsidR="001A4DC6" w:rsidRDefault="001A4DC6" w:rsidP="001A4DC6">
      <w:pPr>
        <w:rPr>
          <w:lang w:bidi="ar-SA"/>
        </w:rPr>
      </w:pPr>
      <w:r>
        <w:rPr>
          <w:lang w:bidi="ar-SA"/>
        </w:rPr>
        <w:t xml:space="preserve">The impacts are discussed in more detail in the following section. </w:t>
      </w:r>
    </w:p>
    <w:p w14:paraId="6F83C342" w14:textId="306FEDE7" w:rsidR="001A4DC6" w:rsidRDefault="00FC4901" w:rsidP="00304CCC">
      <w:pPr>
        <w:pStyle w:val="Heading3"/>
      </w:pPr>
      <w:bookmarkStart w:id="22" w:name="_Toc139031144"/>
      <w:r>
        <w:t>About the industry</w:t>
      </w:r>
      <w:bookmarkEnd w:id="22"/>
    </w:p>
    <w:p w14:paraId="7F9C387A" w14:textId="7F4E35F5" w:rsidR="00FC4901" w:rsidRDefault="00FC4901" w:rsidP="001A4DC6">
      <w:pPr>
        <w:pStyle w:val="Heading4"/>
      </w:pPr>
      <w:r>
        <w:t>Value of the industry</w:t>
      </w:r>
    </w:p>
    <w:p w14:paraId="426A8CEB" w14:textId="77777777" w:rsidR="008047FF" w:rsidRDefault="001A4DC6" w:rsidP="001A4DC6">
      <w:r>
        <w:t xml:space="preserve">The total value of impacted products was approximately </w:t>
      </w:r>
      <w:r w:rsidRPr="00041900">
        <w:t>$</w:t>
      </w:r>
      <w:r w:rsidR="00A74C81">
        <w:t>15</w:t>
      </w:r>
      <w:r w:rsidRPr="00041900">
        <w:t>0</w:t>
      </w:r>
      <w:r>
        <w:t xml:space="preserve">m in 2020. This is according to </w:t>
      </w:r>
      <w:r w:rsidRPr="005712D9">
        <w:t xml:space="preserve">ABARES data on the value of the combined wild harvest and aquaculture commercial Australian bivalve industry production. </w:t>
      </w:r>
    </w:p>
    <w:p w14:paraId="71F2727E" w14:textId="77777777" w:rsidR="008047FF" w:rsidRDefault="008047FF" w:rsidP="001A4DC6"/>
    <w:p w14:paraId="2CE6A96C" w14:textId="79F2C813" w:rsidR="001A4DC6" w:rsidRDefault="001A4DC6" w:rsidP="001A4DC6">
      <w:r w:rsidRPr="005712D9">
        <w:t>A breakdown of this figure by state and by commodity is presented in table 2, below.</w:t>
      </w:r>
      <w:r>
        <w:t xml:space="preserve"> </w:t>
      </w:r>
    </w:p>
    <w:p w14:paraId="27FE642F" w14:textId="7624C686" w:rsidR="00F41B51" w:rsidRDefault="00F41B51">
      <w:pPr>
        <w:widowControl/>
      </w:pPr>
      <w:r>
        <w:br w:type="page"/>
      </w:r>
    </w:p>
    <w:p w14:paraId="7BE0F76A" w14:textId="77777777" w:rsidR="001A4DC6" w:rsidRDefault="001A4DC6" w:rsidP="001A4DC6"/>
    <w:p w14:paraId="655631A5" w14:textId="35DB6CAF" w:rsidR="001A4DC6" w:rsidRDefault="001A4DC6" w:rsidP="001A4DC6">
      <w:pPr>
        <w:pStyle w:val="FSTableTitle"/>
      </w:pPr>
      <w:r>
        <w:t>Table</w:t>
      </w:r>
      <w:r w:rsidR="005113FD">
        <w:t xml:space="preserve"> 2</w:t>
      </w:r>
      <w:r>
        <w:t xml:space="preserve"> – Value of industry by commodity and state (2020)</w:t>
      </w:r>
    </w:p>
    <w:tbl>
      <w:tblPr>
        <w:tblStyle w:val="TableGrid"/>
        <w:tblW w:w="9666" w:type="dxa"/>
        <w:tblLook w:val="04A0" w:firstRow="1" w:lastRow="0" w:firstColumn="1" w:lastColumn="0" w:noHBand="0" w:noVBand="1"/>
      </w:tblPr>
      <w:tblGrid>
        <w:gridCol w:w="1329"/>
        <w:gridCol w:w="1191"/>
        <w:gridCol w:w="1191"/>
        <w:gridCol w:w="1191"/>
        <w:gridCol w:w="1191"/>
        <w:gridCol w:w="1191"/>
        <w:gridCol w:w="1191"/>
        <w:gridCol w:w="1191"/>
      </w:tblGrid>
      <w:tr w:rsidR="001A4DC6" w14:paraId="351E111C" w14:textId="77777777" w:rsidTr="00244B01">
        <w:tc>
          <w:tcPr>
            <w:tcW w:w="1329" w:type="dxa"/>
          </w:tcPr>
          <w:p w14:paraId="36BB673A" w14:textId="77777777" w:rsidR="001A4DC6" w:rsidRDefault="001A4DC6" w:rsidP="00244B01"/>
        </w:tc>
        <w:tc>
          <w:tcPr>
            <w:tcW w:w="1191" w:type="dxa"/>
          </w:tcPr>
          <w:p w14:paraId="4E73DF35" w14:textId="77777777" w:rsidR="001A4DC6" w:rsidRDefault="001A4DC6" w:rsidP="00244B01">
            <w:pPr>
              <w:jc w:val="right"/>
            </w:pPr>
            <w:r w:rsidRPr="00C1705B">
              <w:t>NSW</w:t>
            </w:r>
            <w:r>
              <w:br/>
              <w:t>($’000)</w:t>
            </w:r>
          </w:p>
        </w:tc>
        <w:tc>
          <w:tcPr>
            <w:tcW w:w="1191" w:type="dxa"/>
          </w:tcPr>
          <w:p w14:paraId="4E46C480" w14:textId="77777777" w:rsidR="001A4DC6" w:rsidRDefault="001A4DC6" w:rsidP="00244B01">
            <w:pPr>
              <w:jc w:val="right"/>
            </w:pPr>
            <w:r w:rsidRPr="00C1705B">
              <w:t>SA</w:t>
            </w:r>
            <w:r>
              <w:br/>
              <w:t>($’000)</w:t>
            </w:r>
          </w:p>
        </w:tc>
        <w:tc>
          <w:tcPr>
            <w:tcW w:w="1191" w:type="dxa"/>
          </w:tcPr>
          <w:p w14:paraId="0BED50F3" w14:textId="77777777" w:rsidR="001A4DC6" w:rsidRDefault="001A4DC6" w:rsidP="00244B01">
            <w:pPr>
              <w:jc w:val="right"/>
            </w:pPr>
            <w:r w:rsidRPr="00C1705B">
              <w:t>Tas</w:t>
            </w:r>
          </w:p>
          <w:p w14:paraId="2A4723B7" w14:textId="77777777" w:rsidR="001A4DC6" w:rsidRDefault="001A4DC6" w:rsidP="00244B01">
            <w:pPr>
              <w:jc w:val="right"/>
            </w:pPr>
            <w:r>
              <w:t>($’000)</w:t>
            </w:r>
          </w:p>
        </w:tc>
        <w:tc>
          <w:tcPr>
            <w:tcW w:w="1191" w:type="dxa"/>
          </w:tcPr>
          <w:p w14:paraId="0631E81E" w14:textId="77777777" w:rsidR="001A4DC6" w:rsidRDefault="001A4DC6" w:rsidP="00244B01">
            <w:pPr>
              <w:jc w:val="right"/>
            </w:pPr>
            <w:r w:rsidRPr="00C1705B">
              <w:t>WA</w:t>
            </w:r>
          </w:p>
          <w:p w14:paraId="43A2890F" w14:textId="77777777" w:rsidR="001A4DC6" w:rsidRDefault="001A4DC6" w:rsidP="00244B01">
            <w:pPr>
              <w:jc w:val="right"/>
            </w:pPr>
            <w:r>
              <w:t>($’000)</w:t>
            </w:r>
          </w:p>
        </w:tc>
        <w:tc>
          <w:tcPr>
            <w:tcW w:w="1191" w:type="dxa"/>
          </w:tcPr>
          <w:p w14:paraId="4D70ED33" w14:textId="77777777" w:rsidR="001A4DC6" w:rsidRDefault="001A4DC6" w:rsidP="00244B01">
            <w:pPr>
              <w:jc w:val="right"/>
            </w:pPr>
            <w:r w:rsidRPr="00C1705B">
              <w:t>Vic</w:t>
            </w:r>
          </w:p>
          <w:p w14:paraId="004894D3" w14:textId="77777777" w:rsidR="001A4DC6" w:rsidRDefault="001A4DC6" w:rsidP="00244B01">
            <w:pPr>
              <w:jc w:val="right"/>
            </w:pPr>
            <w:r>
              <w:t>($’000)</w:t>
            </w:r>
          </w:p>
        </w:tc>
        <w:tc>
          <w:tcPr>
            <w:tcW w:w="1191" w:type="dxa"/>
          </w:tcPr>
          <w:p w14:paraId="7B820737" w14:textId="77777777" w:rsidR="001A4DC6" w:rsidRDefault="001A4DC6" w:rsidP="00244B01">
            <w:pPr>
              <w:jc w:val="right"/>
            </w:pPr>
            <w:r w:rsidRPr="00C1705B">
              <w:t>QLD</w:t>
            </w:r>
          </w:p>
          <w:p w14:paraId="465BBB66" w14:textId="77777777" w:rsidR="001A4DC6" w:rsidRDefault="001A4DC6" w:rsidP="00244B01">
            <w:pPr>
              <w:jc w:val="right"/>
            </w:pPr>
            <w:r>
              <w:t>($’000)</w:t>
            </w:r>
          </w:p>
        </w:tc>
        <w:tc>
          <w:tcPr>
            <w:tcW w:w="1191" w:type="dxa"/>
          </w:tcPr>
          <w:p w14:paraId="48310801" w14:textId="77777777" w:rsidR="001A4DC6" w:rsidRDefault="001A4DC6" w:rsidP="00244B01">
            <w:pPr>
              <w:jc w:val="right"/>
            </w:pPr>
            <w:r w:rsidRPr="00C1705B">
              <w:t>Total</w:t>
            </w:r>
          </w:p>
          <w:p w14:paraId="1C0CE0F0" w14:textId="77777777" w:rsidR="001A4DC6" w:rsidRDefault="001A4DC6" w:rsidP="00244B01">
            <w:pPr>
              <w:jc w:val="right"/>
            </w:pPr>
            <w:r>
              <w:t>($’000)</w:t>
            </w:r>
          </w:p>
        </w:tc>
      </w:tr>
      <w:tr w:rsidR="00A74C81" w14:paraId="4EC32A91" w14:textId="77777777" w:rsidTr="00244B01">
        <w:tc>
          <w:tcPr>
            <w:tcW w:w="1329" w:type="dxa"/>
          </w:tcPr>
          <w:p w14:paraId="5D83224E" w14:textId="77777777" w:rsidR="00A74C81" w:rsidRDefault="00A74C81" w:rsidP="00A74C81">
            <w:r w:rsidRPr="00C1705B">
              <w:t>Oysters</w:t>
            </w:r>
          </w:p>
        </w:tc>
        <w:tc>
          <w:tcPr>
            <w:tcW w:w="1191" w:type="dxa"/>
          </w:tcPr>
          <w:p w14:paraId="0AC800F3" w14:textId="7C2D5935" w:rsidR="00A74C81" w:rsidRDefault="00A74C81" w:rsidP="00A74C81">
            <w:pPr>
              <w:jc w:val="right"/>
            </w:pPr>
            <w:r w:rsidRPr="00ED7A48">
              <w:t xml:space="preserve"> 58,242 </w:t>
            </w:r>
          </w:p>
        </w:tc>
        <w:tc>
          <w:tcPr>
            <w:tcW w:w="1191" w:type="dxa"/>
          </w:tcPr>
          <w:p w14:paraId="35D9325C" w14:textId="6F7C407D" w:rsidR="00A74C81" w:rsidRDefault="00A74C81" w:rsidP="00A74C81">
            <w:pPr>
              <w:jc w:val="right"/>
            </w:pPr>
            <w:r w:rsidRPr="00ED7A48">
              <w:t xml:space="preserve"> 24,948 </w:t>
            </w:r>
          </w:p>
        </w:tc>
        <w:tc>
          <w:tcPr>
            <w:tcW w:w="1191" w:type="dxa"/>
          </w:tcPr>
          <w:p w14:paraId="686DC338" w14:textId="2DA919E4" w:rsidR="00A74C81" w:rsidRDefault="00A74C81" w:rsidP="00A74C81">
            <w:pPr>
              <w:jc w:val="right"/>
            </w:pPr>
            <w:r w:rsidRPr="00ED7A48">
              <w:t xml:space="preserve"> 30,758 </w:t>
            </w:r>
          </w:p>
        </w:tc>
        <w:tc>
          <w:tcPr>
            <w:tcW w:w="1191" w:type="dxa"/>
          </w:tcPr>
          <w:p w14:paraId="55E72657" w14:textId="49805B2B" w:rsidR="00A74C81" w:rsidRDefault="00A74C81" w:rsidP="00A74C81">
            <w:pPr>
              <w:jc w:val="right"/>
            </w:pPr>
            <w:r w:rsidRPr="00ED7A48">
              <w:t xml:space="preserve"> - </w:t>
            </w:r>
          </w:p>
        </w:tc>
        <w:tc>
          <w:tcPr>
            <w:tcW w:w="1191" w:type="dxa"/>
          </w:tcPr>
          <w:p w14:paraId="1FB6C022" w14:textId="2F1071D2" w:rsidR="00A74C81" w:rsidRDefault="00A74C81" w:rsidP="00A74C81">
            <w:pPr>
              <w:jc w:val="right"/>
            </w:pPr>
            <w:r w:rsidRPr="00ED7A48">
              <w:t xml:space="preserve"> - </w:t>
            </w:r>
          </w:p>
        </w:tc>
        <w:tc>
          <w:tcPr>
            <w:tcW w:w="1191" w:type="dxa"/>
          </w:tcPr>
          <w:p w14:paraId="40F59ABD" w14:textId="73967334" w:rsidR="00A74C81" w:rsidRDefault="00A74C81" w:rsidP="00A74C81">
            <w:pPr>
              <w:jc w:val="right"/>
            </w:pPr>
            <w:r w:rsidRPr="00ED7A48">
              <w:t xml:space="preserve"> 500 </w:t>
            </w:r>
          </w:p>
        </w:tc>
        <w:tc>
          <w:tcPr>
            <w:tcW w:w="1191" w:type="dxa"/>
          </w:tcPr>
          <w:p w14:paraId="293E1BF4" w14:textId="25607B94" w:rsidR="00A74C81" w:rsidRDefault="00A74C81" w:rsidP="00A74C81">
            <w:pPr>
              <w:jc w:val="right"/>
            </w:pPr>
            <w:r w:rsidRPr="00ED7A48">
              <w:t xml:space="preserve"> 114,448 </w:t>
            </w:r>
          </w:p>
        </w:tc>
      </w:tr>
      <w:tr w:rsidR="00A74C81" w14:paraId="253F7B21" w14:textId="77777777" w:rsidTr="00244B01">
        <w:tc>
          <w:tcPr>
            <w:tcW w:w="1329" w:type="dxa"/>
          </w:tcPr>
          <w:p w14:paraId="3044EF18" w14:textId="77777777" w:rsidR="00A74C81" w:rsidRDefault="00A74C81" w:rsidP="00A74C81">
            <w:r w:rsidRPr="00C1705B">
              <w:t>Scallops</w:t>
            </w:r>
          </w:p>
        </w:tc>
        <w:tc>
          <w:tcPr>
            <w:tcW w:w="1191" w:type="dxa"/>
          </w:tcPr>
          <w:p w14:paraId="5F952D34" w14:textId="7FD0C87F" w:rsidR="00A74C81" w:rsidRDefault="00A74C81" w:rsidP="00A74C81">
            <w:pPr>
              <w:jc w:val="right"/>
            </w:pPr>
            <w:r w:rsidRPr="00ED7A48">
              <w:t xml:space="preserve"> - </w:t>
            </w:r>
          </w:p>
        </w:tc>
        <w:tc>
          <w:tcPr>
            <w:tcW w:w="1191" w:type="dxa"/>
          </w:tcPr>
          <w:p w14:paraId="78F41AA6" w14:textId="6F760063" w:rsidR="00A74C81" w:rsidRDefault="00A74C81" w:rsidP="00A74C81">
            <w:pPr>
              <w:jc w:val="right"/>
            </w:pPr>
            <w:r w:rsidRPr="00ED7A48">
              <w:t xml:space="preserve"> - </w:t>
            </w:r>
          </w:p>
        </w:tc>
        <w:tc>
          <w:tcPr>
            <w:tcW w:w="1191" w:type="dxa"/>
          </w:tcPr>
          <w:p w14:paraId="47AF4EAF" w14:textId="347245C9" w:rsidR="00A74C81" w:rsidRDefault="00A74C81" w:rsidP="00A74C81">
            <w:pPr>
              <w:jc w:val="right"/>
            </w:pPr>
            <w:r w:rsidRPr="00ED7A48">
              <w:t xml:space="preserve"> .. </w:t>
            </w:r>
          </w:p>
        </w:tc>
        <w:tc>
          <w:tcPr>
            <w:tcW w:w="1191" w:type="dxa"/>
          </w:tcPr>
          <w:p w14:paraId="2B6A7D7F" w14:textId="5D99CD3E" w:rsidR="00A74C81" w:rsidRDefault="00A74C81" w:rsidP="00A74C81">
            <w:pPr>
              <w:jc w:val="right"/>
            </w:pPr>
            <w:r w:rsidRPr="00ED7A48">
              <w:t xml:space="preserve"> 9,199 </w:t>
            </w:r>
          </w:p>
        </w:tc>
        <w:tc>
          <w:tcPr>
            <w:tcW w:w="1191" w:type="dxa"/>
          </w:tcPr>
          <w:p w14:paraId="2F5D3686" w14:textId="3B2B0CD8" w:rsidR="00A74C81" w:rsidRDefault="00A74C81" w:rsidP="00A74C81">
            <w:pPr>
              <w:jc w:val="right"/>
            </w:pPr>
            <w:r w:rsidRPr="00ED7A48">
              <w:t xml:space="preserve"> - </w:t>
            </w:r>
          </w:p>
        </w:tc>
        <w:tc>
          <w:tcPr>
            <w:tcW w:w="1191" w:type="dxa"/>
          </w:tcPr>
          <w:p w14:paraId="26016DCD" w14:textId="5DFD94B8" w:rsidR="00A74C81" w:rsidRDefault="00A74C81" w:rsidP="00A74C81">
            <w:pPr>
              <w:jc w:val="right"/>
            </w:pPr>
            <w:r w:rsidRPr="00ED7A48">
              <w:t xml:space="preserve"> 3,662 </w:t>
            </w:r>
          </w:p>
        </w:tc>
        <w:tc>
          <w:tcPr>
            <w:tcW w:w="1191" w:type="dxa"/>
          </w:tcPr>
          <w:p w14:paraId="1FDE1104" w14:textId="6A26D99E" w:rsidR="00A74C81" w:rsidRDefault="00A74C81" w:rsidP="00A74C81">
            <w:pPr>
              <w:jc w:val="right"/>
            </w:pPr>
            <w:r w:rsidRPr="00ED7A48">
              <w:t xml:space="preserve"> 12,861 </w:t>
            </w:r>
          </w:p>
        </w:tc>
      </w:tr>
      <w:tr w:rsidR="00A74C81" w14:paraId="3869F1ED" w14:textId="77777777" w:rsidTr="00244B01">
        <w:tc>
          <w:tcPr>
            <w:tcW w:w="1329" w:type="dxa"/>
          </w:tcPr>
          <w:p w14:paraId="0F636F11" w14:textId="77777777" w:rsidR="00A74C81" w:rsidRDefault="00A74C81" w:rsidP="00A74C81">
            <w:r w:rsidRPr="00C1705B">
              <w:t>Mussels</w:t>
            </w:r>
          </w:p>
        </w:tc>
        <w:tc>
          <w:tcPr>
            <w:tcW w:w="1191" w:type="dxa"/>
          </w:tcPr>
          <w:p w14:paraId="74A89CFD" w14:textId="57305BBC" w:rsidR="00A74C81" w:rsidRDefault="00A74C81" w:rsidP="00A74C81">
            <w:pPr>
              <w:jc w:val="right"/>
            </w:pPr>
            <w:r w:rsidRPr="00ED7A48">
              <w:t xml:space="preserve"> 282 </w:t>
            </w:r>
          </w:p>
        </w:tc>
        <w:tc>
          <w:tcPr>
            <w:tcW w:w="1191" w:type="dxa"/>
          </w:tcPr>
          <w:p w14:paraId="039B907F" w14:textId="216A7EB1" w:rsidR="00A74C81" w:rsidRDefault="00A74C81" w:rsidP="00A74C81">
            <w:pPr>
              <w:jc w:val="right"/>
            </w:pPr>
            <w:r w:rsidRPr="00ED7A48">
              <w:t xml:space="preserve"> 3,472 </w:t>
            </w:r>
          </w:p>
        </w:tc>
        <w:tc>
          <w:tcPr>
            <w:tcW w:w="1191" w:type="dxa"/>
          </w:tcPr>
          <w:p w14:paraId="020311E9" w14:textId="2D968C83" w:rsidR="00A74C81" w:rsidRDefault="00A74C81" w:rsidP="00A74C81">
            <w:pPr>
              <w:jc w:val="right"/>
            </w:pPr>
            <w:r w:rsidRPr="00ED7A48">
              <w:t xml:space="preserve"> 2,289 </w:t>
            </w:r>
          </w:p>
        </w:tc>
        <w:tc>
          <w:tcPr>
            <w:tcW w:w="1191" w:type="dxa"/>
          </w:tcPr>
          <w:p w14:paraId="4AD2CCD8" w14:textId="297A4E24" w:rsidR="00A74C81" w:rsidRDefault="00A74C81" w:rsidP="00A74C81">
            <w:pPr>
              <w:jc w:val="right"/>
            </w:pPr>
            <w:r w:rsidRPr="00ED7A48">
              <w:t xml:space="preserve"> - </w:t>
            </w:r>
          </w:p>
        </w:tc>
        <w:tc>
          <w:tcPr>
            <w:tcW w:w="1191" w:type="dxa"/>
          </w:tcPr>
          <w:p w14:paraId="140952F7" w14:textId="62DB2353" w:rsidR="00A74C81" w:rsidRDefault="00A74C81" w:rsidP="00A74C81">
            <w:pPr>
              <w:jc w:val="right"/>
            </w:pPr>
            <w:r w:rsidRPr="00ED7A48">
              <w:t xml:space="preserve"> 5,189</w:t>
            </w:r>
            <w:r w:rsidR="00DE79BC" w:rsidRPr="00DE79BC">
              <w:rPr>
                <w:vertAlign w:val="superscript"/>
              </w:rPr>
              <w:t>b</w:t>
            </w:r>
            <w:r w:rsidRPr="00ED7A48">
              <w:t xml:space="preserve"> </w:t>
            </w:r>
          </w:p>
        </w:tc>
        <w:tc>
          <w:tcPr>
            <w:tcW w:w="1191" w:type="dxa"/>
          </w:tcPr>
          <w:p w14:paraId="44C085B4" w14:textId="2572E2FA" w:rsidR="00A74C81" w:rsidRDefault="00A74C81" w:rsidP="00A74C81">
            <w:pPr>
              <w:jc w:val="right"/>
            </w:pPr>
            <w:r w:rsidRPr="00ED7A48">
              <w:t xml:space="preserve"> - </w:t>
            </w:r>
          </w:p>
        </w:tc>
        <w:tc>
          <w:tcPr>
            <w:tcW w:w="1191" w:type="dxa"/>
          </w:tcPr>
          <w:p w14:paraId="28D6182B" w14:textId="44BD67BB" w:rsidR="00A74C81" w:rsidRDefault="00A74C81" w:rsidP="00A74C81">
            <w:pPr>
              <w:jc w:val="right"/>
            </w:pPr>
            <w:r w:rsidRPr="00ED7A48">
              <w:t xml:space="preserve"> 11,232 </w:t>
            </w:r>
          </w:p>
        </w:tc>
      </w:tr>
      <w:tr w:rsidR="00A74C81" w14:paraId="199E3D95" w14:textId="77777777" w:rsidTr="00244B01">
        <w:tc>
          <w:tcPr>
            <w:tcW w:w="1329" w:type="dxa"/>
          </w:tcPr>
          <w:p w14:paraId="5372F5CD" w14:textId="77777777" w:rsidR="00A74C81" w:rsidRDefault="00A74C81" w:rsidP="00A74C81">
            <w:r w:rsidRPr="00C1705B">
              <w:t>Pipis</w:t>
            </w:r>
          </w:p>
        </w:tc>
        <w:tc>
          <w:tcPr>
            <w:tcW w:w="1191" w:type="dxa"/>
          </w:tcPr>
          <w:p w14:paraId="7C4C981B" w14:textId="2F23B385" w:rsidR="00A74C81" w:rsidRDefault="00A74C81" w:rsidP="00A74C81">
            <w:pPr>
              <w:jc w:val="right"/>
            </w:pPr>
            <w:r w:rsidRPr="00ED7A48">
              <w:t xml:space="preserve"> 2,117 </w:t>
            </w:r>
          </w:p>
        </w:tc>
        <w:tc>
          <w:tcPr>
            <w:tcW w:w="1191" w:type="dxa"/>
          </w:tcPr>
          <w:p w14:paraId="21742D76" w14:textId="3C28223E" w:rsidR="00A74C81" w:rsidRDefault="00A74C81" w:rsidP="00A74C81">
            <w:pPr>
              <w:jc w:val="right"/>
            </w:pPr>
            <w:r w:rsidRPr="00ED7A48">
              <w:t xml:space="preserve"> 4,798 </w:t>
            </w:r>
          </w:p>
        </w:tc>
        <w:tc>
          <w:tcPr>
            <w:tcW w:w="1191" w:type="dxa"/>
          </w:tcPr>
          <w:p w14:paraId="0100BFD8" w14:textId="74C756B7" w:rsidR="00A74C81" w:rsidRDefault="00A74C81" w:rsidP="00A74C81">
            <w:pPr>
              <w:jc w:val="right"/>
            </w:pPr>
            <w:r w:rsidRPr="00ED7A48">
              <w:t xml:space="preserve"> - </w:t>
            </w:r>
          </w:p>
        </w:tc>
        <w:tc>
          <w:tcPr>
            <w:tcW w:w="1191" w:type="dxa"/>
          </w:tcPr>
          <w:p w14:paraId="14CC68E2" w14:textId="7BF06390" w:rsidR="00A74C81" w:rsidRDefault="00A74C81" w:rsidP="00A74C81">
            <w:pPr>
              <w:jc w:val="right"/>
            </w:pPr>
            <w:r w:rsidRPr="00ED7A48">
              <w:t xml:space="preserve"> - </w:t>
            </w:r>
          </w:p>
        </w:tc>
        <w:tc>
          <w:tcPr>
            <w:tcW w:w="1191" w:type="dxa"/>
          </w:tcPr>
          <w:p w14:paraId="00E06E6A" w14:textId="3C74D02F" w:rsidR="00A74C81" w:rsidRDefault="00A74C81" w:rsidP="00A74C81">
            <w:pPr>
              <w:jc w:val="right"/>
            </w:pPr>
            <w:r w:rsidRPr="00ED7A48">
              <w:t xml:space="preserve"> - </w:t>
            </w:r>
          </w:p>
        </w:tc>
        <w:tc>
          <w:tcPr>
            <w:tcW w:w="1191" w:type="dxa"/>
          </w:tcPr>
          <w:p w14:paraId="3CF87BFD" w14:textId="495B3442" w:rsidR="00A74C81" w:rsidRDefault="00A74C81" w:rsidP="00A74C81">
            <w:pPr>
              <w:jc w:val="right"/>
            </w:pPr>
            <w:r w:rsidRPr="00ED7A48">
              <w:t xml:space="preserve"> - </w:t>
            </w:r>
          </w:p>
        </w:tc>
        <w:tc>
          <w:tcPr>
            <w:tcW w:w="1191" w:type="dxa"/>
          </w:tcPr>
          <w:p w14:paraId="23B95FD5" w14:textId="0E066EE2" w:rsidR="00A74C81" w:rsidRDefault="00A74C81" w:rsidP="00A74C81">
            <w:pPr>
              <w:jc w:val="right"/>
            </w:pPr>
            <w:r w:rsidRPr="00ED7A48">
              <w:t xml:space="preserve"> 6,915 </w:t>
            </w:r>
          </w:p>
        </w:tc>
      </w:tr>
      <w:tr w:rsidR="00A74C81" w14:paraId="720BD666" w14:textId="77777777" w:rsidTr="00244B01">
        <w:tc>
          <w:tcPr>
            <w:tcW w:w="1329" w:type="dxa"/>
          </w:tcPr>
          <w:p w14:paraId="66AD3061" w14:textId="77777777" w:rsidR="00A74C81" w:rsidRDefault="00A74C81" w:rsidP="00A74C81">
            <w:r w:rsidRPr="00C1705B">
              <w:t>Other molluscs</w:t>
            </w:r>
          </w:p>
        </w:tc>
        <w:tc>
          <w:tcPr>
            <w:tcW w:w="1191" w:type="dxa"/>
          </w:tcPr>
          <w:p w14:paraId="1D25DC5F" w14:textId="3A659876" w:rsidR="00A74C81" w:rsidRDefault="00A74C81" w:rsidP="00A74C81">
            <w:pPr>
              <w:jc w:val="right"/>
            </w:pPr>
            <w:r w:rsidRPr="00ED7A48">
              <w:t xml:space="preserve"> 106 </w:t>
            </w:r>
          </w:p>
        </w:tc>
        <w:tc>
          <w:tcPr>
            <w:tcW w:w="1191" w:type="dxa"/>
          </w:tcPr>
          <w:p w14:paraId="5083E7E6" w14:textId="40BF0DAD" w:rsidR="00A74C81" w:rsidRDefault="00A74C81" w:rsidP="00A74C81">
            <w:pPr>
              <w:jc w:val="right"/>
            </w:pPr>
            <w:r w:rsidRPr="00ED7A48">
              <w:t xml:space="preserve"> 1,537 </w:t>
            </w:r>
          </w:p>
        </w:tc>
        <w:tc>
          <w:tcPr>
            <w:tcW w:w="1191" w:type="dxa"/>
          </w:tcPr>
          <w:p w14:paraId="6F645604" w14:textId="4E807D04" w:rsidR="00A74C81" w:rsidRDefault="00A74C81" w:rsidP="00A74C81">
            <w:pPr>
              <w:jc w:val="right"/>
            </w:pPr>
            <w:r w:rsidRPr="00ED7A48">
              <w:t xml:space="preserve"> 1,619 </w:t>
            </w:r>
          </w:p>
        </w:tc>
        <w:tc>
          <w:tcPr>
            <w:tcW w:w="1191" w:type="dxa"/>
          </w:tcPr>
          <w:p w14:paraId="7744D421" w14:textId="300FBCBB" w:rsidR="00A74C81" w:rsidRDefault="00A74C81" w:rsidP="00A74C81">
            <w:pPr>
              <w:jc w:val="right"/>
            </w:pPr>
            <w:r w:rsidRPr="00ED7A48">
              <w:t xml:space="preserve"> - </w:t>
            </w:r>
          </w:p>
        </w:tc>
        <w:tc>
          <w:tcPr>
            <w:tcW w:w="1191" w:type="dxa"/>
          </w:tcPr>
          <w:p w14:paraId="268AFFC9" w14:textId="2558BE3A" w:rsidR="00A74C81" w:rsidRDefault="00A74C81" w:rsidP="00A74C81">
            <w:pPr>
              <w:jc w:val="right"/>
            </w:pPr>
            <w:r w:rsidRPr="00ED7A48">
              <w:t xml:space="preserve"> 1,555 </w:t>
            </w:r>
          </w:p>
        </w:tc>
        <w:tc>
          <w:tcPr>
            <w:tcW w:w="1191" w:type="dxa"/>
          </w:tcPr>
          <w:p w14:paraId="3D8376FF" w14:textId="3CF951C0" w:rsidR="00A74C81" w:rsidRDefault="00A74C81" w:rsidP="00A74C81">
            <w:pPr>
              <w:jc w:val="right"/>
            </w:pPr>
            <w:r w:rsidRPr="00ED7A48">
              <w:t xml:space="preserve"> - </w:t>
            </w:r>
          </w:p>
        </w:tc>
        <w:tc>
          <w:tcPr>
            <w:tcW w:w="1191" w:type="dxa"/>
          </w:tcPr>
          <w:p w14:paraId="7778D838" w14:textId="0389EFA4" w:rsidR="00A74C81" w:rsidRDefault="00A74C81" w:rsidP="00A74C81">
            <w:pPr>
              <w:jc w:val="right"/>
            </w:pPr>
            <w:r w:rsidRPr="00ED7A48">
              <w:t xml:space="preserve"> 4,817 </w:t>
            </w:r>
          </w:p>
        </w:tc>
      </w:tr>
      <w:tr w:rsidR="00A74C81" w14:paraId="4D2E8289" w14:textId="77777777" w:rsidTr="00244B01">
        <w:tc>
          <w:tcPr>
            <w:tcW w:w="1329" w:type="dxa"/>
          </w:tcPr>
          <w:p w14:paraId="4B2D0336" w14:textId="77777777" w:rsidR="00A74C81" w:rsidRPr="005D42FB" w:rsidRDefault="00A74C81" w:rsidP="00A74C81">
            <w:pPr>
              <w:rPr>
                <w:b/>
                <w:bCs/>
              </w:rPr>
            </w:pPr>
            <w:r w:rsidRPr="005D42FB">
              <w:rPr>
                <w:b/>
                <w:bCs/>
              </w:rPr>
              <w:t>Total</w:t>
            </w:r>
          </w:p>
        </w:tc>
        <w:tc>
          <w:tcPr>
            <w:tcW w:w="1191" w:type="dxa"/>
          </w:tcPr>
          <w:p w14:paraId="18E107B6" w14:textId="6AF23EA4" w:rsidR="00A74C81" w:rsidRPr="00A74C81" w:rsidRDefault="00A74C81" w:rsidP="00A74C81">
            <w:pPr>
              <w:jc w:val="right"/>
              <w:rPr>
                <w:b/>
                <w:bCs/>
              </w:rPr>
            </w:pPr>
            <w:r w:rsidRPr="00A74C81">
              <w:rPr>
                <w:b/>
                <w:bCs/>
              </w:rPr>
              <w:t xml:space="preserve"> 60,747 </w:t>
            </w:r>
          </w:p>
        </w:tc>
        <w:tc>
          <w:tcPr>
            <w:tcW w:w="1191" w:type="dxa"/>
          </w:tcPr>
          <w:p w14:paraId="0BF18379" w14:textId="189F98D4" w:rsidR="00A74C81" w:rsidRPr="00A74C81" w:rsidRDefault="00A74C81" w:rsidP="00A74C81">
            <w:pPr>
              <w:jc w:val="right"/>
              <w:rPr>
                <w:b/>
                <w:bCs/>
              </w:rPr>
            </w:pPr>
            <w:r w:rsidRPr="00A74C81">
              <w:rPr>
                <w:b/>
                <w:bCs/>
              </w:rPr>
              <w:t xml:space="preserve"> 34,755 </w:t>
            </w:r>
          </w:p>
        </w:tc>
        <w:tc>
          <w:tcPr>
            <w:tcW w:w="1191" w:type="dxa"/>
          </w:tcPr>
          <w:p w14:paraId="4B4D6ED5" w14:textId="23D74C5F" w:rsidR="00A74C81" w:rsidRPr="00A74C81" w:rsidRDefault="00A74C81" w:rsidP="00A74C81">
            <w:pPr>
              <w:jc w:val="right"/>
              <w:rPr>
                <w:b/>
                <w:bCs/>
              </w:rPr>
            </w:pPr>
            <w:r w:rsidRPr="00A74C81">
              <w:rPr>
                <w:b/>
                <w:bCs/>
              </w:rPr>
              <w:t xml:space="preserve"> 34,666 </w:t>
            </w:r>
          </w:p>
        </w:tc>
        <w:tc>
          <w:tcPr>
            <w:tcW w:w="1191" w:type="dxa"/>
          </w:tcPr>
          <w:p w14:paraId="74A1ABDB" w14:textId="40E98012" w:rsidR="00A74C81" w:rsidRPr="00A74C81" w:rsidRDefault="00A74C81" w:rsidP="00A74C81">
            <w:pPr>
              <w:jc w:val="right"/>
              <w:rPr>
                <w:b/>
                <w:bCs/>
              </w:rPr>
            </w:pPr>
            <w:r w:rsidRPr="00A74C81">
              <w:rPr>
                <w:b/>
                <w:bCs/>
              </w:rPr>
              <w:t xml:space="preserve"> 9,199 </w:t>
            </w:r>
          </w:p>
        </w:tc>
        <w:tc>
          <w:tcPr>
            <w:tcW w:w="1191" w:type="dxa"/>
          </w:tcPr>
          <w:p w14:paraId="794ADF86" w14:textId="192DD91D" w:rsidR="00A74C81" w:rsidRPr="00A74C81" w:rsidRDefault="00A74C81" w:rsidP="00A74C81">
            <w:pPr>
              <w:jc w:val="right"/>
              <w:rPr>
                <w:b/>
                <w:bCs/>
              </w:rPr>
            </w:pPr>
            <w:r w:rsidRPr="00A74C81">
              <w:rPr>
                <w:b/>
                <w:bCs/>
              </w:rPr>
              <w:t xml:space="preserve"> 6,744 </w:t>
            </w:r>
          </w:p>
        </w:tc>
        <w:tc>
          <w:tcPr>
            <w:tcW w:w="1191" w:type="dxa"/>
          </w:tcPr>
          <w:p w14:paraId="486E1855" w14:textId="7C29EE0B" w:rsidR="00A74C81" w:rsidRPr="00A74C81" w:rsidRDefault="00A74C81" w:rsidP="00A74C81">
            <w:pPr>
              <w:jc w:val="right"/>
              <w:rPr>
                <w:b/>
                <w:bCs/>
              </w:rPr>
            </w:pPr>
            <w:r w:rsidRPr="00A74C81">
              <w:rPr>
                <w:b/>
                <w:bCs/>
              </w:rPr>
              <w:t xml:space="preserve"> 4,162 </w:t>
            </w:r>
          </w:p>
        </w:tc>
        <w:tc>
          <w:tcPr>
            <w:tcW w:w="1191" w:type="dxa"/>
          </w:tcPr>
          <w:p w14:paraId="42A84A13" w14:textId="20C9358C" w:rsidR="00A74C81" w:rsidRPr="00A74C81" w:rsidRDefault="00A74C81" w:rsidP="00A74C81">
            <w:pPr>
              <w:jc w:val="right"/>
              <w:rPr>
                <w:b/>
                <w:bCs/>
              </w:rPr>
            </w:pPr>
            <w:r w:rsidRPr="00A74C81">
              <w:rPr>
                <w:b/>
                <w:bCs/>
              </w:rPr>
              <w:t xml:space="preserve"> 150,273 </w:t>
            </w:r>
          </w:p>
        </w:tc>
      </w:tr>
    </w:tbl>
    <w:p w14:paraId="5623189F" w14:textId="77777777" w:rsidR="001A4DC6" w:rsidRDefault="001A4DC6" w:rsidP="001A4DC6">
      <w:r w:rsidRPr="00F2135B">
        <w:rPr>
          <w:vertAlign w:val="superscript"/>
        </w:rPr>
        <w:t>b</w:t>
      </w:r>
      <w:r w:rsidRPr="00F2135B">
        <w:t>2017-18 figure as 2019-20 data not available</w:t>
      </w:r>
    </w:p>
    <w:p w14:paraId="1B74720B" w14:textId="77777777" w:rsidR="001A4DC6" w:rsidRDefault="001A4DC6" w:rsidP="001A4DC6">
      <w:r>
        <w:t>‘-‘ no data recorded by ABARES</w:t>
      </w:r>
    </w:p>
    <w:p w14:paraId="5D47C126" w14:textId="77777777" w:rsidR="001A4DC6" w:rsidRDefault="001A4DC6" w:rsidP="001A4DC6">
      <w:r>
        <w:t>‘..’ rounded to zero</w:t>
      </w:r>
    </w:p>
    <w:p w14:paraId="24C9AEA4" w14:textId="77777777" w:rsidR="001A4DC6" w:rsidRDefault="001A4DC6" w:rsidP="001A4DC6"/>
    <w:p w14:paraId="1BC7DEAE" w14:textId="7678E9E4" w:rsidR="001A4DC6" w:rsidRDefault="001A4DC6" w:rsidP="001A4DC6">
      <w:r>
        <w:t>Note that s</w:t>
      </w:r>
      <w:r w:rsidRPr="009B47B9">
        <w:t>callop producers in W</w:t>
      </w:r>
      <w:r>
        <w:t xml:space="preserve">estern </w:t>
      </w:r>
      <w:r w:rsidRPr="009B47B9">
        <w:t>A</w:t>
      </w:r>
      <w:r>
        <w:t>ustralia</w:t>
      </w:r>
      <w:r w:rsidRPr="009B47B9">
        <w:t xml:space="preserve">, </w:t>
      </w:r>
      <w:r>
        <w:t>the</w:t>
      </w:r>
      <w:r w:rsidRPr="009B47B9">
        <w:t xml:space="preserve"> N</w:t>
      </w:r>
      <w:r>
        <w:t xml:space="preserve">orthern </w:t>
      </w:r>
      <w:r w:rsidRPr="009B47B9">
        <w:t>T</w:t>
      </w:r>
      <w:r>
        <w:t>erritory</w:t>
      </w:r>
      <w:r w:rsidRPr="009B47B9">
        <w:t xml:space="preserve"> and Q</w:t>
      </w:r>
      <w:r>
        <w:t>ueensland</w:t>
      </w:r>
      <w:r w:rsidRPr="009B47B9">
        <w:t xml:space="preserve"> do  not conduct routine biotoxin analyses and</w:t>
      </w:r>
      <w:r>
        <w:t xml:space="preserve"> </w:t>
      </w:r>
      <w:r w:rsidRPr="009B47B9">
        <w:t xml:space="preserve">are </w:t>
      </w:r>
      <w:r>
        <w:t>t</w:t>
      </w:r>
      <w:r w:rsidRPr="009B47B9">
        <w:t>h</w:t>
      </w:r>
      <w:r>
        <w:t>erefore</w:t>
      </w:r>
      <w:r w:rsidRPr="009B47B9">
        <w:t xml:space="preserve"> not impacted by this application.</w:t>
      </w:r>
    </w:p>
    <w:p w14:paraId="06E77E2F" w14:textId="3C636C65" w:rsidR="00FC4901" w:rsidRDefault="00FC4901" w:rsidP="001A4DC6">
      <w:pPr>
        <w:pStyle w:val="Heading4"/>
      </w:pPr>
      <w:r>
        <w:t xml:space="preserve">Number of impacted businesses </w:t>
      </w:r>
    </w:p>
    <w:p w14:paraId="5DB67F0B" w14:textId="77777777" w:rsidR="001A4DC6" w:rsidRDefault="001A4DC6" w:rsidP="001A4DC6">
      <w:r>
        <w:t>There is no single source of data for the number of impacted businesses. According to data provided by the Applicant;</w:t>
      </w:r>
    </w:p>
    <w:p w14:paraId="3D34ADED" w14:textId="77777777" w:rsidR="001A4DC6" w:rsidRDefault="001A4DC6" w:rsidP="00813634">
      <w:pPr>
        <w:pStyle w:val="FSBullet1"/>
        <w:numPr>
          <w:ilvl w:val="0"/>
          <w:numId w:val="6"/>
        </w:numPr>
      </w:pPr>
      <w:r>
        <w:t>in NSW there are:</w:t>
      </w:r>
    </w:p>
    <w:p w14:paraId="29012A47" w14:textId="77777777" w:rsidR="001A4DC6" w:rsidRDefault="001A4DC6" w:rsidP="00813634">
      <w:pPr>
        <w:pStyle w:val="FSBullet2"/>
        <w:numPr>
          <w:ilvl w:val="0"/>
          <w:numId w:val="7"/>
        </w:numPr>
      </w:pPr>
      <w:r>
        <w:t>244 oyster businesses</w:t>
      </w:r>
    </w:p>
    <w:p w14:paraId="2CBF9CB8" w14:textId="77777777" w:rsidR="001A4DC6" w:rsidRDefault="001A4DC6" w:rsidP="00813634">
      <w:pPr>
        <w:pStyle w:val="FSBullet2"/>
        <w:numPr>
          <w:ilvl w:val="0"/>
          <w:numId w:val="7"/>
        </w:numPr>
      </w:pPr>
      <w:r>
        <w:t>41 pipi licences</w:t>
      </w:r>
    </w:p>
    <w:p w14:paraId="4DEBF7CA" w14:textId="77777777" w:rsidR="001A4DC6" w:rsidRDefault="001A4DC6" w:rsidP="00813634">
      <w:pPr>
        <w:pStyle w:val="FSBullet2"/>
        <w:numPr>
          <w:ilvl w:val="0"/>
          <w:numId w:val="7"/>
        </w:numPr>
      </w:pPr>
      <w:r>
        <w:t>two mussel producing businesses</w:t>
      </w:r>
    </w:p>
    <w:p w14:paraId="11810FCF" w14:textId="77777777" w:rsidR="00397C01" w:rsidRDefault="00397C01" w:rsidP="00E034B8">
      <w:pPr>
        <w:pStyle w:val="FSBullet2"/>
        <w:numPr>
          <w:ilvl w:val="0"/>
          <w:numId w:val="0"/>
        </w:numPr>
        <w:ind w:left="1287"/>
      </w:pPr>
    </w:p>
    <w:p w14:paraId="708DDC04" w14:textId="77777777" w:rsidR="001A4DC6" w:rsidRDefault="001A4DC6" w:rsidP="00813634">
      <w:pPr>
        <w:pStyle w:val="FSBullet1"/>
        <w:numPr>
          <w:ilvl w:val="0"/>
          <w:numId w:val="6"/>
        </w:numPr>
      </w:pPr>
      <w:r>
        <w:t>In SA there are:</w:t>
      </w:r>
    </w:p>
    <w:p w14:paraId="0D3E8B47" w14:textId="77777777" w:rsidR="001A4DC6" w:rsidRDefault="001A4DC6" w:rsidP="00813634">
      <w:pPr>
        <w:pStyle w:val="FSBullet2"/>
        <w:numPr>
          <w:ilvl w:val="0"/>
          <w:numId w:val="7"/>
        </w:numPr>
      </w:pPr>
      <w:r>
        <w:t xml:space="preserve">92 aquaculture growers </w:t>
      </w:r>
    </w:p>
    <w:p w14:paraId="3371E628" w14:textId="77777777" w:rsidR="001A4DC6" w:rsidRDefault="001A4DC6" w:rsidP="00813634">
      <w:pPr>
        <w:pStyle w:val="FSBullet2"/>
        <w:numPr>
          <w:ilvl w:val="0"/>
          <w:numId w:val="7"/>
        </w:numPr>
      </w:pPr>
      <w:r>
        <w:t>15 licences for pipis and cockles</w:t>
      </w:r>
    </w:p>
    <w:p w14:paraId="33974B52" w14:textId="549C84FA" w:rsidR="001A4DC6" w:rsidRDefault="001A4DC6" w:rsidP="00813634">
      <w:pPr>
        <w:pStyle w:val="FSBullet2"/>
        <w:numPr>
          <w:ilvl w:val="0"/>
          <w:numId w:val="7"/>
        </w:numPr>
      </w:pPr>
      <w:r>
        <w:t>one company producing mus</w:t>
      </w:r>
      <w:r w:rsidR="003F3C02">
        <w:t>sels</w:t>
      </w:r>
    </w:p>
    <w:p w14:paraId="1FE51FDD" w14:textId="77777777" w:rsidR="00397C01" w:rsidRDefault="00397C01" w:rsidP="00E034B8">
      <w:pPr>
        <w:pStyle w:val="FSBullet2"/>
        <w:numPr>
          <w:ilvl w:val="0"/>
          <w:numId w:val="0"/>
        </w:numPr>
        <w:ind w:left="1287"/>
      </w:pPr>
    </w:p>
    <w:p w14:paraId="4E316ADF" w14:textId="77777777" w:rsidR="001A4DC6" w:rsidRDefault="001A4DC6" w:rsidP="00813634">
      <w:pPr>
        <w:pStyle w:val="FSBullet1"/>
        <w:numPr>
          <w:ilvl w:val="0"/>
          <w:numId w:val="6"/>
        </w:numPr>
      </w:pPr>
      <w:r>
        <w:t>In Tasmania there are:</w:t>
      </w:r>
    </w:p>
    <w:p w14:paraId="58DDBDEF" w14:textId="3DE54214" w:rsidR="001A4DC6" w:rsidRDefault="001A4DC6" w:rsidP="00813634">
      <w:pPr>
        <w:pStyle w:val="FSBullet2"/>
        <w:numPr>
          <w:ilvl w:val="0"/>
          <w:numId w:val="7"/>
        </w:numPr>
      </w:pPr>
      <w:r>
        <w:t xml:space="preserve">65 marine oyster farming businesses </w:t>
      </w:r>
    </w:p>
    <w:p w14:paraId="4DCC5A42" w14:textId="77777777" w:rsidR="001A4DC6" w:rsidRDefault="001A4DC6" w:rsidP="00813634">
      <w:pPr>
        <w:pStyle w:val="FSBullet2"/>
        <w:numPr>
          <w:ilvl w:val="0"/>
          <w:numId w:val="7"/>
        </w:numPr>
      </w:pPr>
      <w:r>
        <w:t>6 businesses harvesting wild oysters, pipis and clams</w:t>
      </w:r>
    </w:p>
    <w:p w14:paraId="33AF670D" w14:textId="77777777" w:rsidR="001A4DC6" w:rsidRDefault="001A4DC6" w:rsidP="001A4DC6">
      <w:pPr>
        <w:pStyle w:val="FSBullet2"/>
        <w:numPr>
          <w:ilvl w:val="0"/>
          <w:numId w:val="0"/>
        </w:numPr>
      </w:pPr>
    </w:p>
    <w:p w14:paraId="6B1125BA" w14:textId="41A2D49A" w:rsidR="001A4DC6" w:rsidRDefault="001A4DC6" w:rsidP="001A4DC6">
      <w:pPr>
        <w:pStyle w:val="FSBullet2"/>
        <w:numPr>
          <w:ilvl w:val="0"/>
          <w:numId w:val="0"/>
        </w:numPr>
      </w:pPr>
      <w:r>
        <w:t xml:space="preserve">For more information on the number of </w:t>
      </w:r>
      <w:r w:rsidR="007023BF">
        <w:t xml:space="preserve">impacted </w:t>
      </w:r>
      <w:r>
        <w:t>businesses, refer to the application (page</w:t>
      </w:r>
      <w:r w:rsidR="00E936BB">
        <w:t xml:space="preserve"> </w:t>
      </w:r>
      <w:r>
        <w:t xml:space="preserve">14). </w:t>
      </w:r>
    </w:p>
    <w:p w14:paraId="710FF331" w14:textId="77777777" w:rsidR="00D03027" w:rsidRDefault="00D03027" w:rsidP="001A4DC6">
      <w:pPr>
        <w:pStyle w:val="FSBullet2"/>
        <w:numPr>
          <w:ilvl w:val="0"/>
          <w:numId w:val="0"/>
        </w:numPr>
      </w:pPr>
    </w:p>
    <w:p w14:paraId="4CC199E4" w14:textId="6C5B1830" w:rsidR="00D03027" w:rsidRPr="00A64CD9" w:rsidRDefault="00D03027" w:rsidP="00A64CD9">
      <w:pPr>
        <w:pStyle w:val="FSBullet2"/>
        <w:numPr>
          <w:ilvl w:val="0"/>
          <w:numId w:val="0"/>
        </w:numPr>
        <w:pBdr>
          <w:top w:val="single" w:sz="4" w:space="1" w:color="auto"/>
          <w:left w:val="single" w:sz="4" w:space="4" w:color="auto"/>
          <w:bottom w:val="single" w:sz="4" w:space="1" w:color="auto"/>
          <w:right w:val="single" w:sz="4" w:space="4" w:color="auto"/>
        </w:pBdr>
        <w:rPr>
          <w14:textOutline w14:w="9525" w14:cap="rnd" w14:cmpd="sng" w14:algn="ctr">
            <w14:solidFill>
              <w14:schemeClr w14:val="accent1"/>
            </w14:solidFill>
            <w14:prstDash w14:val="solid"/>
            <w14:bevel/>
          </w14:textOutline>
        </w:rPr>
      </w:pPr>
      <w:r>
        <w:t xml:space="preserve">Question </w:t>
      </w:r>
      <w:r>
        <w:fldChar w:fldCharType="begin"/>
      </w:r>
      <w:r>
        <w:instrText>seq ques</w:instrText>
      </w:r>
      <w:r>
        <w:fldChar w:fldCharType="separate"/>
      </w:r>
      <w:r w:rsidR="00B77F3A">
        <w:rPr>
          <w:noProof/>
        </w:rPr>
        <w:t>3</w:t>
      </w:r>
      <w:r>
        <w:fldChar w:fldCharType="end"/>
      </w:r>
      <w:r w:rsidR="00A64CD9">
        <w:t xml:space="preserve">: Do you agree with the value of the industry and the number of impacted businesses? If not, do you have any alternative data that you would like us to consider? </w:t>
      </w:r>
    </w:p>
    <w:p w14:paraId="0BE13FC4" w14:textId="77777777" w:rsidR="001A4DC6" w:rsidRDefault="001A4DC6" w:rsidP="00304CCC">
      <w:pPr>
        <w:pStyle w:val="Heading3"/>
      </w:pPr>
      <w:bookmarkStart w:id="23" w:name="_Toc139031145"/>
      <w:r>
        <w:t>Industry expected to benefit from harmonisation of standards</w:t>
      </w:r>
      <w:bookmarkEnd w:id="23"/>
    </w:p>
    <w:p w14:paraId="5B580AF5" w14:textId="785BF7F6" w:rsidR="001A4DC6" w:rsidRDefault="001A4DC6" w:rsidP="001A4DC6">
      <w:r w:rsidRPr="00EF57FE">
        <w:t>Currently in Australia, there are two tiers of regulatory standards, each stating different biotoxin MLs –</w:t>
      </w:r>
      <w:r>
        <w:t xml:space="preserve"> </w:t>
      </w:r>
      <w:r w:rsidRPr="00EF57FE">
        <w:t>one for domestic products</w:t>
      </w:r>
      <w:r>
        <w:t xml:space="preserve"> </w:t>
      </w:r>
      <w:r w:rsidRPr="00EF57FE">
        <w:t>and one for exported products</w:t>
      </w:r>
      <w:r w:rsidR="009375F9">
        <w:t xml:space="preserve">. </w:t>
      </w:r>
      <w:r w:rsidR="00693779">
        <w:t>Export</w:t>
      </w:r>
      <w:r w:rsidR="009375F9">
        <w:t xml:space="preserve"> standards are </w:t>
      </w:r>
      <w:r w:rsidRPr="00EF57FE">
        <w:t xml:space="preserve">set by the </w:t>
      </w:r>
      <w:r w:rsidR="009375F9">
        <w:t xml:space="preserve">regulator in the </w:t>
      </w:r>
      <w:r w:rsidR="00B8534C">
        <w:t>region</w:t>
      </w:r>
      <w:r w:rsidRPr="00EF57FE">
        <w:t xml:space="preserve"> the product is exported to. </w:t>
      </w:r>
    </w:p>
    <w:p w14:paraId="5BA94127" w14:textId="77777777" w:rsidR="001A4DC6" w:rsidRDefault="001A4DC6" w:rsidP="001A4DC6"/>
    <w:p w14:paraId="1745B2E4" w14:textId="3B6CB567" w:rsidR="007023BF" w:rsidRDefault="001A4DC6" w:rsidP="00814F71">
      <w:pPr>
        <w:rPr>
          <w:i/>
        </w:rPr>
      </w:pPr>
      <w:r w:rsidRPr="00EF57FE">
        <w:t>This</w:t>
      </w:r>
      <w:r>
        <w:t xml:space="preserve"> </w:t>
      </w:r>
      <w:r w:rsidR="00B4615F">
        <w:t>could</w:t>
      </w:r>
      <w:r w:rsidR="00B4615F" w:rsidRPr="00EF57FE">
        <w:t xml:space="preserve"> </w:t>
      </w:r>
      <w:r w:rsidRPr="00EF57FE">
        <w:t xml:space="preserve">cause confusion </w:t>
      </w:r>
      <w:r>
        <w:t>for</w:t>
      </w:r>
      <w:r w:rsidRPr="00EF57FE">
        <w:t xml:space="preserve"> industry</w:t>
      </w:r>
      <w:r>
        <w:t xml:space="preserve">, and </w:t>
      </w:r>
      <w:r w:rsidR="00B4615F">
        <w:t xml:space="preserve">could </w:t>
      </w:r>
      <w:r>
        <w:t>create add</w:t>
      </w:r>
      <w:r w:rsidRPr="00EF57FE">
        <w:t>itional work for exporting companies to ensure they comply with both</w:t>
      </w:r>
      <w:r>
        <w:t xml:space="preserve"> </w:t>
      </w:r>
      <w:r w:rsidRPr="00EF57FE">
        <w:t>sets of standards.</w:t>
      </w:r>
      <w:r>
        <w:rPr>
          <w:i/>
        </w:rPr>
        <w:t xml:space="preserve"> </w:t>
      </w:r>
    </w:p>
    <w:p w14:paraId="7A131489" w14:textId="77777777" w:rsidR="007023BF" w:rsidRDefault="007023BF" w:rsidP="00814F71">
      <w:pPr>
        <w:rPr>
          <w:i/>
        </w:rPr>
      </w:pPr>
    </w:p>
    <w:p w14:paraId="3A966CAA" w14:textId="3B660176" w:rsidR="002D21D7" w:rsidRDefault="001A4DC6" w:rsidP="00814F71">
      <w:r w:rsidRPr="00EF57FE">
        <w:t xml:space="preserve">Adopting Codex MLs </w:t>
      </w:r>
      <w:r w:rsidR="0051272F">
        <w:t xml:space="preserve">would </w:t>
      </w:r>
      <w:r>
        <w:t>mean</w:t>
      </w:r>
      <w:r w:rsidRPr="00EF57FE">
        <w:t xml:space="preserve"> compliance with the Code would equate to compliance with international standards.</w:t>
      </w:r>
      <w:r>
        <w:t xml:space="preserve"> This </w:t>
      </w:r>
      <w:r w:rsidR="0051272F">
        <w:t xml:space="preserve">would have </w:t>
      </w:r>
      <w:r>
        <w:t xml:space="preserve">the potential to reduce costs for </w:t>
      </w:r>
      <w:r w:rsidR="004C7713">
        <w:t xml:space="preserve">exporting businesses. </w:t>
      </w:r>
    </w:p>
    <w:p w14:paraId="3E070A3A" w14:textId="0FA7B34E" w:rsidR="002D21D7" w:rsidRDefault="00B739C1" w:rsidP="00304CCC">
      <w:pPr>
        <w:pStyle w:val="Heading3"/>
      </w:pPr>
      <w:bookmarkStart w:id="24" w:name="_Toc139031146"/>
      <w:r>
        <w:lastRenderedPageBreak/>
        <w:t>Potential b</w:t>
      </w:r>
      <w:r w:rsidR="00816C4B">
        <w:t xml:space="preserve">enefits for industry as a result of </w:t>
      </w:r>
      <w:r>
        <w:t>improved food safety</w:t>
      </w:r>
      <w:bookmarkEnd w:id="24"/>
    </w:p>
    <w:p w14:paraId="4263370B" w14:textId="0C10025F" w:rsidR="00B739C1" w:rsidRDefault="00391AD2" w:rsidP="00B739C1">
      <w:pPr>
        <w:rPr>
          <w:lang w:eastAsia="en-AU" w:bidi="ar-SA"/>
        </w:rPr>
      </w:pPr>
      <w:r>
        <w:rPr>
          <w:lang w:eastAsia="en-AU" w:bidi="ar-SA"/>
        </w:rPr>
        <w:t xml:space="preserve">Increased safety of </w:t>
      </w:r>
      <w:r w:rsidR="00C658CD">
        <w:rPr>
          <w:lang w:eastAsia="en-AU" w:bidi="ar-SA"/>
        </w:rPr>
        <w:t xml:space="preserve">impacted seafood may lead to more consumer confidence, which then could result in more demand. </w:t>
      </w:r>
    </w:p>
    <w:p w14:paraId="139D2E5D" w14:textId="77777777" w:rsidR="00C658CD" w:rsidRDefault="00C658CD" w:rsidP="00B739C1">
      <w:pPr>
        <w:rPr>
          <w:lang w:eastAsia="en-AU" w:bidi="ar-SA"/>
        </w:rPr>
      </w:pPr>
    </w:p>
    <w:p w14:paraId="565B4A22" w14:textId="2A4769A0" w:rsidR="00C658CD" w:rsidRPr="00E034B8" w:rsidRDefault="004A2455" w:rsidP="00B739C1">
      <w:pPr>
        <w:rPr>
          <w:lang w:eastAsia="en-AU" w:bidi="ar-SA"/>
        </w:rPr>
      </w:pPr>
      <w:r>
        <w:rPr>
          <w:lang w:eastAsia="en-AU" w:bidi="ar-SA"/>
        </w:rPr>
        <w:t>The cost of i</w:t>
      </w:r>
      <w:r w:rsidR="00CE42F1">
        <w:rPr>
          <w:lang w:eastAsia="en-AU" w:bidi="ar-SA"/>
        </w:rPr>
        <w:t xml:space="preserve">ncreased closures (discussed below in section </w:t>
      </w:r>
      <w:r w:rsidR="00CE42F1">
        <w:rPr>
          <w:lang w:eastAsia="en-AU" w:bidi="ar-SA"/>
        </w:rPr>
        <w:fldChar w:fldCharType="begin"/>
      </w:r>
      <w:r w:rsidR="00CE42F1">
        <w:rPr>
          <w:lang w:eastAsia="en-AU" w:bidi="ar-SA"/>
        </w:rPr>
        <w:instrText xml:space="preserve"> REF _Ref129871136 \r \h </w:instrText>
      </w:r>
      <w:r w:rsidR="00CE42F1">
        <w:rPr>
          <w:lang w:eastAsia="en-AU" w:bidi="ar-SA"/>
        </w:rPr>
      </w:r>
      <w:r w:rsidR="00CE42F1">
        <w:rPr>
          <w:lang w:eastAsia="en-AU" w:bidi="ar-SA"/>
        </w:rPr>
        <w:fldChar w:fldCharType="separate"/>
      </w:r>
      <w:r w:rsidR="00B77F3A">
        <w:rPr>
          <w:lang w:eastAsia="en-AU" w:bidi="ar-SA"/>
        </w:rPr>
        <w:t>5.4.4.1</w:t>
      </w:r>
      <w:r w:rsidR="00CE42F1">
        <w:rPr>
          <w:lang w:eastAsia="en-AU" w:bidi="ar-SA"/>
        </w:rPr>
        <w:fldChar w:fldCharType="end"/>
      </w:r>
      <w:r w:rsidR="00CE42F1">
        <w:rPr>
          <w:lang w:eastAsia="en-AU" w:bidi="ar-SA"/>
        </w:rPr>
        <w:t>)</w:t>
      </w:r>
      <w:r>
        <w:rPr>
          <w:lang w:eastAsia="en-AU" w:bidi="ar-SA"/>
        </w:rPr>
        <w:t xml:space="preserve"> may be partially offset by potential </w:t>
      </w:r>
      <w:r w:rsidR="0080332C">
        <w:rPr>
          <w:lang w:eastAsia="en-AU" w:bidi="ar-SA"/>
        </w:rPr>
        <w:t xml:space="preserve">savings in costs associated with food safety incidents. This may include </w:t>
      </w:r>
      <w:r w:rsidR="00047BEF">
        <w:rPr>
          <w:lang w:eastAsia="en-AU" w:bidi="ar-SA"/>
        </w:rPr>
        <w:t xml:space="preserve">reduced costs from </w:t>
      </w:r>
      <w:r w:rsidR="0080332C">
        <w:rPr>
          <w:lang w:eastAsia="en-AU" w:bidi="ar-SA"/>
        </w:rPr>
        <w:t xml:space="preserve">the direct impacts of recalls, and longer term </w:t>
      </w:r>
      <w:r w:rsidR="002418E1">
        <w:rPr>
          <w:lang w:eastAsia="en-AU" w:bidi="ar-SA"/>
        </w:rPr>
        <w:t xml:space="preserve">avoided costs like the impact of reduced consumer confidence. </w:t>
      </w:r>
    </w:p>
    <w:p w14:paraId="6572921A" w14:textId="44369979" w:rsidR="001A4DC6" w:rsidRDefault="008556FF" w:rsidP="00304CCC">
      <w:pPr>
        <w:pStyle w:val="Heading3"/>
      </w:pPr>
      <w:bookmarkStart w:id="25" w:name="_Toc139031147"/>
      <w:r>
        <w:t>Costs for industry</w:t>
      </w:r>
      <w:bookmarkEnd w:id="25"/>
      <w:r>
        <w:t xml:space="preserve"> </w:t>
      </w:r>
    </w:p>
    <w:p w14:paraId="1A341C71" w14:textId="627ADC36" w:rsidR="001A4DC6" w:rsidRDefault="009429ED" w:rsidP="008556FF">
      <w:r>
        <w:t>Proposed amendments</w:t>
      </w:r>
      <w:r w:rsidR="001A4DC6">
        <w:t xml:space="preserve"> </w:t>
      </w:r>
      <w:r>
        <w:t xml:space="preserve">would </w:t>
      </w:r>
      <w:r w:rsidR="001A4DC6">
        <w:t xml:space="preserve">lower the threshold for closing fisheries during a toxic algal bloom, resulting in a greater number of days closed during these events, as well as an increase in the total number of closures. </w:t>
      </w:r>
    </w:p>
    <w:p w14:paraId="1118752F" w14:textId="42290E71" w:rsidR="00547819" w:rsidRDefault="00641307" w:rsidP="00547819">
      <w:pPr>
        <w:pStyle w:val="Heading4"/>
      </w:pPr>
      <w:bookmarkStart w:id="26" w:name="_Ref129871136"/>
      <w:r>
        <w:t xml:space="preserve">Small increase in the frequency and duration of </w:t>
      </w:r>
      <w:r w:rsidR="008556FF">
        <w:t>closures</w:t>
      </w:r>
      <w:bookmarkEnd w:id="26"/>
    </w:p>
    <w:p w14:paraId="4C868D11" w14:textId="7358169F" w:rsidR="000A41D7" w:rsidRDefault="00E76B9F" w:rsidP="000A41D7">
      <w:r>
        <w:t>According to the data available, a</w:t>
      </w:r>
      <w:r w:rsidR="000A41D7">
        <w:t xml:space="preserve"> decrease in the ML could result in shellfish aquaculture zones being closed for harvest for a slightly higher proportion of the year as a result of toxic algal blooms.</w:t>
      </w:r>
    </w:p>
    <w:p w14:paraId="67AF72C0" w14:textId="77777777" w:rsidR="000A41D7" w:rsidRDefault="000A41D7" w:rsidP="008A1405"/>
    <w:p w14:paraId="760CC2D8" w14:textId="77777777" w:rsidR="0096204C" w:rsidRDefault="003A5F94" w:rsidP="003A5F94">
      <w:r>
        <w:t xml:space="preserve">The potential scale of this impact has </w:t>
      </w:r>
      <w:r w:rsidR="00AA5090">
        <w:t xml:space="preserve">been </w:t>
      </w:r>
      <w:r>
        <w:t xml:space="preserve">calculated by investigating the test results of Australian shellfish data </w:t>
      </w:r>
      <w:r w:rsidR="001A4DC6">
        <w:t>provided</w:t>
      </w:r>
      <w:r>
        <w:t xml:space="preserve"> by</w:t>
      </w:r>
      <w:r w:rsidR="001A4DC6">
        <w:t xml:space="preserve"> </w:t>
      </w:r>
      <w:r>
        <w:t xml:space="preserve">the </w:t>
      </w:r>
      <w:r w:rsidR="00AA5090">
        <w:t>a</w:t>
      </w:r>
      <w:r>
        <w:t>pplicant.</w:t>
      </w:r>
      <w:r w:rsidR="001A4DC6">
        <w:t xml:space="preserve"> </w:t>
      </w:r>
    </w:p>
    <w:p w14:paraId="0F3037AE" w14:textId="77777777" w:rsidR="0096204C" w:rsidRDefault="0096204C" w:rsidP="003A5F94"/>
    <w:p w14:paraId="78B6124B" w14:textId="78EA624A" w:rsidR="00691E75" w:rsidRDefault="00691E75" w:rsidP="00691E75">
      <w:bookmarkStart w:id="27" w:name="_Hlk137633562"/>
      <w:r>
        <w:rPr>
          <w:lang w:val="en-US"/>
        </w:rPr>
        <w:t xml:space="preserve">The data was collected as part of the state Shellfish Quality Assurance Programs’ biotoxin risk management. Biotoxin risk management requirements are detailed in the Australian Shellfish Quality Assurance Program Manual of Operations. These requirements are set by the ASQAAC: a government-industry cooperative program that assures food safety of shellfish </w:t>
      </w:r>
      <w:bookmarkStart w:id="28" w:name="_Hlk137633433"/>
      <w:r>
        <w:rPr>
          <w:lang w:val="en-US"/>
        </w:rPr>
        <w:t>when grown, harvested and handled</w:t>
      </w:r>
      <w:bookmarkEnd w:id="28"/>
      <w:r>
        <w:rPr>
          <w:lang w:val="en-US"/>
        </w:rPr>
        <w:t xml:space="preserve"> in accordance with its operational guidelines. </w:t>
      </w:r>
    </w:p>
    <w:bookmarkEnd w:id="27"/>
    <w:p w14:paraId="6EFA3100" w14:textId="77777777" w:rsidR="0096204C" w:rsidRDefault="0096204C" w:rsidP="003A5F94"/>
    <w:p w14:paraId="10E151EB" w14:textId="7C217265" w:rsidR="008A1405" w:rsidRDefault="009B74C3" w:rsidP="003A5F94">
      <w:r>
        <w:t xml:space="preserve">The </w:t>
      </w:r>
      <w:r w:rsidR="006756A4">
        <w:t>application contains</w:t>
      </w:r>
      <w:r w:rsidR="00693E8A">
        <w:t xml:space="preserve"> a summary of</w:t>
      </w:r>
      <w:r w:rsidR="001A4DC6">
        <w:t xml:space="preserve"> the </w:t>
      </w:r>
      <w:r w:rsidR="001A4DC6" w:rsidRPr="00A1706E">
        <w:t>results of 8156</w:t>
      </w:r>
      <w:r w:rsidR="001A4DC6">
        <w:t xml:space="preserve"> </w:t>
      </w:r>
      <w:r w:rsidR="001A4DC6" w:rsidRPr="00A1706E">
        <w:t>tests for DST and 7044 tests for PST</w:t>
      </w:r>
      <w:r w:rsidR="001A4DC6">
        <w:t xml:space="preserve"> </w:t>
      </w:r>
      <w:r w:rsidR="001A4DC6" w:rsidRPr="00A1706E">
        <w:t>in Australian bivalve shellfish from 2012</w:t>
      </w:r>
      <w:r w:rsidR="001A4DC6">
        <w:t xml:space="preserve"> to </w:t>
      </w:r>
      <w:r w:rsidR="001A4DC6" w:rsidRPr="00A1706E">
        <w:t>2017</w:t>
      </w:r>
      <w:r w:rsidR="001A4DC6">
        <w:t xml:space="preserve">. </w:t>
      </w:r>
      <w:r w:rsidR="008A1405">
        <w:rPr>
          <w:lang w:bidi="ar-SA"/>
        </w:rPr>
        <w:t>For a more detailed breakdown by state and species, refer to:</w:t>
      </w:r>
    </w:p>
    <w:p w14:paraId="2F10559A" w14:textId="77777777" w:rsidR="008A1405" w:rsidRDefault="008A1405" w:rsidP="008A1405">
      <w:pPr>
        <w:pStyle w:val="FSBullet1"/>
        <w:numPr>
          <w:ilvl w:val="0"/>
          <w:numId w:val="6"/>
        </w:numPr>
      </w:pPr>
      <w:r>
        <w:t xml:space="preserve">Attachment 2a to the application for DST </w:t>
      </w:r>
    </w:p>
    <w:p w14:paraId="20B0B563" w14:textId="77777777" w:rsidR="008A1405" w:rsidRDefault="008A1405" w:rsidP="008A1405">
      <w:pPr>
        <w:pStyle w:val="FSBullet1"/>
        <w:numPr>
          <w:ilvl w:val="0"/>
          <w:numId w:val="6"/>
        </w:numPr>
      </w:pPr>
      <w:r>
        <w:t>Attachment 2b to the application for PST</w:t>
      </w:r>
    </w:p>
    <w:p w14:paraId="3BA3AAEE" w14:textId="77777777" w:rsidR="008A1405" w:rsidRDefault="008A1405" w:rsidP="001A4DC6">
      <w:pPr>
        <w:pStyle w:val="FSBullet2"/>
        <w:numPr>
          <w:ilvl w:val="0"/>
          <w:numId w:val="0"/>
        </w:numPr>
      </w:pPr>
    </w:p>
    <w:p w14:paraId="00B30190" w14:textId="7D3F9E79" w:rsidR="00C55872" w:rsidRDefault="00BA479F" w:rsidP="001A4DC6">
      <w:pPr>
        <w:pStyle w:val="FSBullet2"/>
        <w:numPr>
          <w:ilvl w:val="0"/>
          <w:numId w:val="0"/>
        </w:numPr>
      </w:pPr>
      <w:r>
        <w:t xml:space="preserve">FSANZ </w:t>
      </w:r>
      <w:r w:rsidR="00AC69F7">
        <w:t xml:space="preserve">subsequently </w:t>
      </w:r>
      <w:r>
        <w:t xml:space="preserve">requested </w:t>
      </w:r>
      <w:r w:rsidR="00AC69F7">
        <w:t>more current</w:t>
      </w:r>
      <w:r>
        <w:t xml:space="preserve"> data from the </w:t>
      </w:r>
      <w:r w:rsidR="00AA5090">
        <w:t>a</w:t>
      </w:r>
      <w:r>
        <w:t>pplicant</w:t>
      </w:r>
      <w:r w:rsidR="006706FC">
        <w:t xml:space="preserve">. The applicant was able to provide </w:t>
      </w:r>
      <w:r w:rsidR="007F5C2C">
        <w:t>additional data for</w:t>
      </w:r>
      <w:r w:rsidR="00C55872">
        <w:t xml:space="preserve"> the period 2018 to 2022 for:</w:t>
      </w:r>
      <w:r w:rsidR="007F5C2C">
        <w:t xml:space="preserve"> </w:t>
      </w:r>
    </w:p>
    <w:p w14:paraId="0BC72A8B" w14:textId="0D55C716" w:rsidR="00C55872" w:rsidRDefault="007F5C2C" w:rsidP="00C55872">
      <w:pPr>
        <w:pStyle w:val="FSBullet2"/>
        <w:numPr>
          <w:ilvl w:val="0"/>
          <w:numId w:val="13"/>
        </w:numPr>
      </w:pPr>
      <w:r>
        <w:t>Tasmania</w:t>
      </w:r>
      <w:r w:rsidR="00C55872">
        <w:t xml:space="preserve"> (</w:t>
      </w:r>
      <w:r w:rsidR="0094450E">
        <w:t>4482 DST</w:t>
      </w:r>
      <w:r w:rsidR="00FB0747">
        <w:t xml:space="preserve"> tests</w:t>
      </w:r>
      <w:r w:rsidR="0094450E">
        <w:t>,</w:t>
      </w:r>
      <w:r w:rsidR="00FB0747">
        <w:t xml:space="preserve"> 5503 PST tests)</w:t>
      </w:r>
    </w:p>
    <w:p w14:paraId="110858E8" w14:textId="2F4685A1" w:rsidR="00C55872" w:rsidRDefault="007F5C2C" w:rsidP="00C55872">
      <w:pPr>
        <w:pStyle w:val="FSBullet2"/>
        <w:numPr>
          <w:ilvl w:val="0"/>
          <w:numId w:val="13"/>
        </w:numPr>
      </w:pPr>
      <w:r>
        <w:t xml:space="preserve">NSW </w:t>
      </w:r>
      <w:r w:rsidR="0094450E">
        <w:t xml:space="preserve">(3330 DST, </w:t>
      </w:r>
      <w:r w:rsidR="004113CC">
        <w:t>3388 PST)</w:t>
      </w:r>
    </w:p>
    <w:p w14:paraId="78D147BF" w14:textId="1E1DA6AE" w:rsidR="00E96C68" w:rsidRDefault="00C55872" w:rsidP="00C55872">
      <w:pPr>
        <w:pStyle w:val="FSBullet2"/>
        <w:numPr>
          <w:ilvl w:val="0"/>
          <w:numId w:val="13"/>
        </w:numPr>
      </w:pPr>
      <w:r>
        <w:t>WA</w:t>
      </w:r>
      <w:r w:rsidR="007F5C2C">
        <w:t xml:space="preserve"> </w:t>
      </w:r>
      <w:r w:rsidR="0094450E">
        <w:t>(</w:t>
      </w:r>
      <w:r w:rsidR="00FB0747">
        <w:t xml:space="preserve">254 DST, </w:t>
      </w:r>
      <w:r w:rsidR="004113CC">
        <w:t>252 PST)</w:t>
      </w:r>
    </w:p>
    <w:p w14:paraId="24FC16B7" w14:textId="77777777" w:rsidR="00A1426F" w:rsidRDefault="00A1426F" w:rsidP="00A1426F">
      <w:pPr>
        <w:pStyle w:val="FSBullet2"/>
        <w:numPr>
          <w:ilvl w:val="0"/>
          <w:numId w:val="0"/>
        </w:numPr>
        <w:rPr>
          <w:highlight w:val="yellow"/>
        </w:rPr>
      </w:pPr>
    </w:p>
    <w:p w14:paraId="0C0C9E87" w14:textId="6FDE9AA2" w:rsidR="00A1426F" w:rsidRDefault="00A1426F" w:rsidP="00A1426F">
      <w:pPr>
        <w:pStyle w:val="FSBullet2"/>
        <w:numPr>
          <w:ilvl w:val="0"/>
          <w:numId w:val="0"/>
        </w:numPr>
      </w:pPr>
      <w:r w:rsidRPr="008606A4">
        <w:t xml:space="preserve">To review the additional data provided in full, refer to </w:t>
      </w:r>
      <w:r w:rsidR="008606A4" w:rsidRPr="008606A4">
        <w:t xml:space="preserve">the updated </w:t>
      </w:r>
      <w:r w:rsidR="00976DC8">
        <w:t xml:space="preserve">information provided for the </w:t>
      </w:r>
      <w:r w:rsidR="008606A4" w:rsidRPr="008606A4">
        <w:t>application.</w:t>
      </w:r>
    </w:p>
    <w:p w14:paraId="7C812138" w14:textId="77777777" w:rsidR="00E96C68" w:rsidRDefault="00E96C68" w:rsidP="001A4DC6">
      <w:pPr>
        <w:pStyle w:val="FSBullet2"/>
        <w:numPr>
          <w:ilvl w:val="0"/>
          <w:numId w:val="0"/>
        </w:numPr>
      </w:pPr>
    </w:p>
    <w:p w14:paraId="5C8388E5" w14:textId="13B8463A" w:rsidR="00582D5A" w:rsidRDefault="00C97FDB" w:rsidP="001A4DC6">
      <w:pPr>
        <w:pStyle w:val="FSBullet2"/>
        <w:numPr>
          <w:ilvl w:val="0"/>
          <w:numId w:val="0"/>
        </w:numPr>
      </w:pPr>
      <w:r w:rsidRPr="00C97FDB">
        <w:t xml:space="preserve">The only major shellfish producing state which did not provide </w:t>
      </w:r>
      <w:r w:rsidR="00AA5090">
        <w:t xml:space="preserve">updated </w:t>
      </w:r>
      <w:r w:rsidRPr="00C97FDB">
        <w:t>data is South Australia</w:t>
      </w:r>
      <w:r w:rsidR="00AA5090">
        <w:t>, as it was not expected that updated data would change the analysis for them.</w:t>
      </w:r>
    </w:p>
    <w:p w14:paraId="6F5A6400" w14:textId="77777777" w:rsidR="002B17EE" w:rsidRDefault="002B17EE" w:rsidP="001A4DC6">
      <w:pPr>
        <w:pStyle w:val="FSBullet2"/>
        <w:numPr>
          <w:ilvl w:val="0"/>
          <w:numId w:val="0"/>
        </w:numPr>
      </w:pPr>
    </w:p>
    <w:p w14:paraId="2177CDC7" w14:textId="2580AC1E" w:rsidR="002B17EE" w:rsidRDefault="00E210D5" w:rsidP="001A4DC6">
      <w:pPr>
        <w:pStyle w:val="FSBullet2"/>
        <w:numPr>
          <w:ilvl w:val="0"/>
          <w:numId w:val="0"/>
        </w:numPr>
      </w:pPr>
      <w:r>
        <w:t>The</w:t>
      </w:r>
      <w:r w:rsidR="00DC431E">
        <w:t xml:space="preserve"> analysis of the cost impacts of this application uses </w:t>
      </w:r>
      <w:r>
        <w:t>data from 2012 to 2022</w:t>
      </w:r>
      <w:r w:rsidR="00DC431E">
        <w:t xml:space="preserve"> for </w:t>
      </w:r>
      <w:r>
        <w:t>NSW, Tasmania and Western Australia</w:t>
      </w:r>
      <w:r w:rsidR="00DC431E">
        <w:t xml:space="preserve"> and </w:t>
      </w:r>
      <w:r w:rsidR="00A1426F">
        <w:t xml:space="preserve">for </w:t>
      </w:r>
      <w:r>
        <w:t xml:space="preserve">all </w:t>
      </w:r>
      <w:r w:rsidRPr="00346F83">
        <w:t xml:space="preserve">other </w:t>
      </w:r>
      <w:r w:rsidR="00A1426F" w:rsidRPr="00346F83">
        <w:t>jurisdictions</w:t>
      </w:r>
      <w:r w:rsidRPr="00346F83">
        <w:t xml:space="preserve"> the 2012 to 2017 data is used</w:t>
      </w:r>
      <w:r>
        <w:t xml:space="preserve">. </w:t>
      </w:r>
    </w:p>
    <w:p w14:paraId="63259302" w14:textId="7BD1B0D1" w:rsidR="00582D5A" w:rsidRDefault="00582D5A" w:rsidP="001A4DC6">
      <w:pPr>
        <w:pStyle w:val="FSBullet2"/>
        <w:numPr>
          <w:ilvl w:val="0"/>
          <w:numId w:val="0"/>
        </w:numPr>
      </w:pPr>
    </w:p>
    <w:p w14:paraId="5C33EA19" w14:textId="2C79CA37" w:rsidR="001A4DC6" w:rsidRDefault="00B25149" w:rsidP="001A4DC6">
      <w:pPr>
        <w:pStyle w:val="FSBullet2"/>
        <w:numPr>
          <w:ilvl w:val="0"/>
          <w:numId w:val="0"/>
        </w:numPr>
      </w:pPr>
      <w:r>
        <w:t>The data provided</w:t>
      </w:r>
      <w:r w:rsidR="001A4DC6">
        <w:t xml:space="preserve"> was analysed to determine how often </w:t>
      </w:r>
      <w:r w:rsidR="005E2FA3">
        <w:t>DST and PST would be detected at the lower threshold</w:t>
      </w:r>
      <w:r w:rsidR="00AA5090">
        <w:t>s</w:t>
      </w:r>
      <w:r w:rsidR="005E2FA3">
        <w:t xml:space="preserve">. </w:t>
      </w:r>
    </w:p>
    <w:p w14:paraId="4EA8B31F" w14:textId="77777777" w:rsidR="001A4DC6" w:rsidRDefault="001A4DC6" w:rsidP="001A4DC6">
      <w:pPr>
        <w:pStyle w:val="FSBullet2"/>
        <w:numPr>
          <w:ilvl w:val="0"/>
          <w:numId w:val="0"/>
        </w:numPr>
      </w:pPr>
    </w:p>
    <w:p w14:paraId="38EC97A2" w14:textId="1F4BFB9A" w:rsidR="001A4DC6" w:rsidRPr="004821A4" w:rsidRDefault="001A4DC6" w:rsidP="001A4DC6">
      <w:pPr>
        <w:pStyle w:val="FSBullet2"/>
        <w:numPr>
          <w:ilvl w:val="0"/>
          <w:numId w:val="0"/>
        </w:numPr>
      </w:pPr>
      <w:r w:rsidRPr="004821A4">
        <w:lastRenderedPageBreak/>
        <w:t xml:space="preserve">Analysis of this data indicates that </w:t>
      </w:r>
      <w:r w:rsidR="00FA698D" w:rsidRPr="004821A4">
        <w:t xml:space="preserve">the number of </w:t>
      </w:r>
      <w:r w:rsidR="005E2FA3">
        <w:t>detections</w:t>
      </w:r>
      <w:r w:rsidR="00B50EDC" w:rsidRPr="004821A4">
        <w:t xml:space="preserve"> </w:t>
      </w:r>
      <w:r w:rsidR="008B187F">
        <w:t>would</w:t>
      </w:r>
      <w:r w:rsidR="008B187F" w:rsidRPr="004821A4">
        <w:t xml:space="preserve"> </w:t>
      </w:r>
      <w:r w:rsidR="00FA698D" w:rsidRPr="004821A4">
        <w:t>increase by:</w:t>
      </w:r>
    </w:p>
    <w:p w14:paraId="678206DA" w14:textId="5317A9BD" w:rsidR="001A4DC6" w:rsidRPr="004821A4" w:rsidRDefault="008A1405" w:rsidP="00813634">
      <w:pPr>
        <w:pStyle w:val="FSBullet1"/>
        <w:numPr>
          <w:ilvl w:val="0"/>
          <w:numId w:val="6"/>
        </w:numPr>
      </w:pPr>
      <w:r w:rsidRPr="004821A4">
        <w:t>2.</w:t>
      </w:r>
      <w:r w:rsidR="00D81FE0" w:rsidRPr="004821A4">
        <w:t>2</w:t>
      </w:r>
      <w:r w:rsidR="001A4DC6" w:rsidRPr="004821A4">
        <w:t xml:space="preserve"> for DST </w:t>
      </w:r>
      <w:r w:rsidR="00FA698D" w:rsidRPr="004821A4">
        <w:t>per year on average</w:t>
      </w:r>
    </w:p>
    <w:p w14:paraId="1FF22A18" w14:textId="698F5463" w:rsidR="00447223" w:rsidRDefault="004821A4" w:rsidP="00E034B8">
      <w:pPr>
        <w:pStyle w:val="FSBullet1"/>
        <w:numPr>
          <w:ilvl w:val="0"/>
          <w:numId w:val="6"/>
        </w:numPr>
      </w:pPr>
      <w:r w:rsidRPr="004821A4">
        <w:t>9.7</w:t>
      </w:r>
      <w:r w:rsidR="001A4DC6" w:rsidRPr="004821A4">
        <w:t xml:space="preserve"> for PST </w:t>
      </w:r>
      <w:r w:rsidR="00FA698D" w:rsidRPr="004821A4">
        <w:t>per year on average</w:t>
      </w:r>
      <w:r w:rsidR="00B84523">
        <w:t>.</w:t>
      </w:r>
    </w:p>
    <w:p w14:paraId="3AA554FF" w14:textId="0141510C" w:rsidR="00BA34DF" w:rsidRDefault="00BA34DF" w:rsidP="00BA34DF">
      <w:pPr>
        <w:rPr>
          <w:lang w:bidi="ar-SA"/>
        </w:rPr>
      </w:pPr>
    </w:p>
    <w:p w14:paraId="41CEE3EB" w14:textId="0A480B9E" w:rsidR="00BA34DF" w:rsidRPr="00BA34DF" w:rsidRDefault="00BA34DF" w:rsidP="00E76B9F">
      <w:r>
        <w:rPr>
          <w:lang w:bidi="ar-SA"/>
        </w:rPr>
        <w:t>This analysis is explained below.</w:t>
      </w:r>
    </w:p>
    <w:p w14:paraId="1C63B5D4" w14:textId="4231D082" w:rsidR="00E81DC4" w:rsidRDefault="00C72973" w:rsidP="00E034B8">
      <w:pPr>
        <w:pStyle w:val="Heading5"/>
        <w:ind w:left="0" w:firstLine="0"/>
      </w:pPr>
      <w:r>
        <w:t>Potential for i</w:t>
      </w:r>
      <w:r w:rsidR="00E81DC4">
        <w:t>ncreased number of closures due to</w:t>
      </w:r>
      <w:r w:rsidR="000B5A04">
        <w:t xml:space="preserve"> </w:t>
      </w:r>
      <w:r w:rsidR="005E5584">
        <w:t xml:space="preserve">increased </w:t>
      </w:r>
      <w:r w:rsidR="000B5A04">
        <w:t>detection of</w:t>
      </w:r>
      <w:r w:rsidR="00E81DC4">
        <w:t xml:space="preserve"> DST</w:t>
      </w:r>
    </w:p>
    <w:p w14:paraId="019E964E" w14:textId="32398231" w:rsidR="002D6FB4" w:rsidRDefault="002D6FB4" w:rsidP="00E81DC4">
      <w:pPr>
        <w:rPr>
          <w:lang w:bidi="ar-SA"/>
        </w:rPr>
      </w:pPr>
      <w:r w:rsidRPr="002D6FB4">
        <w:rPr>
          <w:lang w:bidi="ar-SA"/>
        </w:rPr>
        <w:t xml:space="preserve">The below table shows the expected number of additional </w:t>
      </w:r>
      <w:r w:rsidR="005E2FA3">
        <w:rPr>
          <w:lang w:bidi="ar-SA"/>
        </w:rPr>
        <w:t>detections</w:t>
      </w:r>
      <w:r w:rsidR="00AC33F9" w:rsidRPr="002D6FB4">
        <w:rPr>
          <w:lang w:bidi="ar-SA"/>
        </w:rPr>
        <w:t xml:space="preserve"> </w:t>
      </w:r>
      <w:r w:rsidRPr="002D6FB4">
        <w:rPr>
          <w:lang w:bidi="ar-SA"/>
        </w:rPr>
        <w:t xml:space="preserve">per year. It is estimated that there </w:t>
      </w:r>
      <w:r w:rsidR="00B10E52">
        <w:rPr>
          <w:lang w:bidi="ar-SA"/>
        </w:rPr>
        <w:t>would</w:t>
      </w:r>
      <w:r w:rsidR="00B10E52" w:rsidRPr="002D6FB4">
        <w:rPr>
          <w:lang w:bidi="ar-SA"/>
        </w:rPr>
        <w:t xml:space="preserve"> </w:t>
      </w:r>
      <w:r w:rsidRPr="002D6FB4">
        <w:rPr>
          <w:lang w:bidi="ar-SA"/>
        </w:rPr>
        <w:t>be on average 2.</w:t>
      </w:r>
      <w:r>
        <w:rPr>
          <w:lang w:bidi="ar-SA"/>
        </w:rPr>
        <w:t>2</w:t>
      </w:r>
      <w:r w:rsidRPr="002D6FB4">
        <w:rPr>
          <w:lang w:bidi="ar-SA"/>
        </w:rPr>
        <w:t xml:space="preserve"> additional </w:t>
      </w:r>
      <w:r w:rsidR="005E2FA3">
        <w:rPr>
          <w:lang w:bidi="ar-SA"/>
        </w:rPr>
        <w:t>detections</w:t>
      </w:r>
      <w:r w:rsidR="00AC33F9">
        <w:rPr>
          <w:lang w:bidi="ar-SA"/>
        </w:rPr>
        <w:t xml:space="preserve"> </w:t>
      </w:r>
      <w:r w:rsidRPr="002D6FB4">
        <w:rPr>
          <w:lang w:bidi="ar-SA"/>
        </w:rPr>
        <w:t>per year</w:t>
      </w:r>
      <w:r w:rsidR="00D17E97">
        <w:rPr>
          <w:lang w:bidi="ar-SA"/>
        </w:rPr>
        <w:t xml:space="preserve"> due to DST</w:t>
      </w:r>
      <w:r w:rsidRPr="002D6FB4">
        <w:rPr>
          <w:lang w:bidi="ar-SA"/>
        </w:rPr>
        <w:t>.</w:t>
      </w:r>
    </w:p>
    <w:p w14:paraId="5654D63A" w14:textId="2ACA6F7A" w:rsidR="002D6FB4" w:rsidRDefault="002D6FB4" w:rsidP="00E81DC4">
      <w:pPr>
        <w:rPr>
          <w:lang w:bidi="ar-SA"/>
        </w:rPr>
      </w:pPr>
    </w:p>
    <w:p w14:paraId="1F6803B6" w14:textId="0C86F153" w:rsidR="00A15340" w:rsidRDefault="00536501" w:rsidP="00A15340">
      <w:pPr>
        <w:rPr>
          <w:lang w:bidi="ar-SA"/>
        </w:rPr>
      </w:pPr>
      <w:r>
        <w:rPr>
          <w:lang w:bidi="ar-SA"/>
        </w:rPr>
        <w:t xml:space="preserve">This has been calculated based on data provided by the applicant. </w:t>
      </w:r>
      <w:r w:rsidR="002038C4">
        <w:rPr>
          <w:lang w:bidi="ar-SA"/>
        </w:rPr>
        <w:t>It is based on the number of detections under the</w:t>
      </w:r>
      <w:r w:rsidR="00702338">
        <w:rPr>
          <w:lang w:bidi="ar-SA"/>
        </w:rPr>
        <w:t xml:space="preserve"> proposed standard, less</w:t>
      </w:r>
      <w:r w:rsidR="00702338" w:rsidRPr="00702338">
        <w:rPr>
          <w:lang w:bidi="ar-SA"/>
        </w:rPr>
        <w:t xml:space="preserve"> </w:t>
      </w:r>
      <w:r w:rsidR="00702338">
        <w:rPr>
          <w:lang w:bidi="ar-SA"/>
        </w:rPr>
        <w:t>detections under</w:t>
      </w:r>
      <w:r w:rsidR="002038C4">
        <w:rPr>
          <w:lang w:bidi="ar-SA"/>
        </w:rPr>
        <w:t xml:space="preserve"> current standard</w:t>
      </w:r>
      <w:r w:rsidR="00702338">
        <w:rPr>
          <w:lang w:bidi="ar-SA"/>
        </w:rPr>
        <w:t xml:space="preserve">, divided by the number of years that the data </w:t>
      </w:r>
      <w:r w:rsidR="000D0FD5">
        <w:rPr>
          <w:lang w:bidi="ar-SA"/>
        </w:rPr>
        <w:t xml:space="preserve">covers. </w:t>
      </w:r>
    </w:p>
    <w:p w14:paraId="2575144B" w14:textId="77777777" w:rsidR="00E81DC4" w:rsidRDefault="00E81DC4" w:rsidP="00E81DC4">
      <w:pPr>
        <w:rPr>
          <w:lang w:bidi="ar-SA"/>
        </w:rPr>
      </w:pPr>
    </w:p>
    <w:p w14:paraId="45CA860D" w14:textId="2C809D84" w:rsidR="00A15340" w:rsidRDefault="00FD792A" w:rsidP="00A15340">
      <w:pPr>
        <w:rPr>
          <w:lang w:bidi="ar-SA"/>
        </w:rPr>
      </w:pPr>
      <w:r>
        <w:rPr>
          <w:lang w:bidi="ar-SA"/>
        </w:rPr>
        <w:t>D</w:t>
      </w:r>
      <w:r w:rsidRPr="00FD792A">
        <w:rPr>
          <w:lang w:bidi="ar-SA"/>
        </w:rPr>
        <w:t xml:space="preserve">ata from 2012 to 2022 </w:t>
      </w:r>
      <w:r>
        <w:rPr>
          <w:lang w:bidi="ar-SA"/>
        </w:rPr>
        <w:t xml:space="preserve">is used </w:t>
      </w:r>
      <w:r w:rsidRPr="00FD792A">
        <w:rPr>
          <w:lang w:bidi="ar-SA"/>
        </w:rPr>
        <w:t>for NSW, Tasmania and Western Australia</w:t>
      </w:r>
      <w:r w:rsidR="000D0FD5">
        <w:rPr>
          <w:lang w:bidi="ar-SA"/>
        </w:rPr>
        <w:t xml:space="preserve"> (9 years of data)</w:t>
      </w:r>
      <w:r w:rsidRPr="00FD792A">
        <w:rPr>
          <w:lang w:bidi="ar-SA"/>
        </w:rPr>
        <w:t xml:space="preserve"> and for all other jurisdictions the 2012 to 2017 data is used</w:t>
      </w:r>
      <w:r w:rsidR="000D0FD5">
        <w:rPr>
          <w:lang w:bidi="ar-SA"/>
        </w:rPr>
        <w:t xml:space="preserve"> (5 years of data)</w:t>
      </w:r>
      <w:r w:rsidRPr="00FD792A">
        <w:rPr>
          <w:lang w:bidi="ar-SA"/>
        </w:rPr>
        <w:t>.</w:t>
      </w:r>
      <w:r w:rsidR="00A15340" w:rsidRPr="00A15340">
        <w:rPr>
          <w:lang w:bidi="ar-SA"/>
        </w:rPr>
        <w:t xml:space="preserve"> </w:t>
      </w:r>
    </w:p>
    <w:p w14:paraId="090BC3B2" w14:textId="05857EB0" w:rsidR="00FD792A" w:rsidRDefault="00FD792A" w:rsidP="00E81DC4">
      <w:pPr>
        <w:rPr>
          <w:lang w:bidi="ar-SA"/>
        </w:rPr>
      </w:pPr>
    </w:p>
    <w:p w14:paraId="12A71C46" w14:textId="38042848" w:rsidR="001A4DC6" w:rsidRDefault="001A4DC6" w:rsidP="00E034B8">
      <w:pPr>
        <w:pStyle w:val="FSTableTitle"/>
        <w:keepNext/>
        <w:keepLines/>
        <w:widowControl/>
        <w:rPr>
          <w:lang w:bidi="ar-SA"/>
        </w:rPr>
      </w:pPr>
      <w:r>
        <w:rPr>
          <w:lang w:bidi="ar-SA"/>
        </w:rPr>
        <w:t>Table</w:t>
      </w:r>
      <w:r w:rsidR="005113FD">
        <w:rPr>
          <w:lang w:bidi="ar-SA"/>
        </w:rPr>
        <w:t xml:space="preserve"> 3</w:t>
      </w:r>
      <w:r>
        <w:rPr>
          <w:lang w:bidi="ar-SA"/>
        </w:rPr>
        <w:t xml:space="preserve"> – </w:t>
      </w:r>
      <w:r w:rsidR="00FA3529">
        <w:rPr>
          <w:lang w:bidi="ar-SA"/>
        </w:rPr>
        <w:t xml:space="preserve">Estimated number of additional </w:t>
      </w:r>
      <w:r w:rsidR="004C5502">
        <w:rPr>
          <w:lang w:bidi="ar-SA"/>
        </w:rPr>
        <w:t>detections</w:t>
      </w:r>
      <w:r w:rsidR="009E49FF">
        <w:rPr>
          <w:lang w:bidi="ar-SA"/>
        </w:rPr>
        <w:t xml:space="preserve"> </w:t>
      </w:r>
      <w:r w:rsidR="00E24BFC">
        <w:rPr>
          <w:lang w:bidi="ar-SA"/>
        </w:rPr>
        <w:t>per year</w:t>
      </w:r>
      <w:r w:rsidR="00FA3529">
        <w:rPr>
          <w:lang w:bidi="ar-SA"/>
        </w:rPr>
        <w:t xml:space="preserve"> </w:t>
      </w:r>
      <w:r w:rsidR="00E24BFC">
        <w:rPr>
          <w:lang w:bidi="ar-SA"/>
        </w:rPr>
        <w:t>of DST by state</w:t>
      </w:r>
      <w:r w:rsidR="00B25149">
        <w:rPr>
          <w:lang w:bidi="ar-SA"/>
        </w:rPr>
        <w:t xml:space="preserve"> </w:t>
      </w:r>
    </w:p>
    <w:tbl>
      <w:tblPr>
        <w:tblStyle w:val="TableGrid"/>
        <w:tblW w:w="9451" w:type="dxa"/>
        <w:tblLook w:val="04A0" w:firstRow="1" w:lastRow="0" w:firstColumn="1" w:lastColumn="0" w:noHBand="0" w:noVBand="1"/>
      </w:tblPr>
      <w:tblGrid>
        <w:gridCol w:w="3118"/>
        <w:gridCol w:w="1073"/>
        <w:gridCol w:w="1074"/>
        <w:gridCol w:w="1074"/>
        <w:gridCol w:w="1074"/>
        <w:gridCol w:w="1074"/>
        <w:gridCol w:w="964"/>
      </w:tblGrid>
      <w:tr w:rsidR="008C66BA" w14:paraId="4B6848F9" w14:textId="2AAE2DAB" w:rsidTr="008C66BA">
        <w:tc>
          <w:tcPr>
            <w:tcW w:w="3118" w:type="dxa"/>
          </w:tcPr>
          <w:p w14:paraId="2FF47230" w14:textId="77777777" w:rsidR="00C16713" w:rsidRPr="00E034B8" w:rsidRDefault="00C16713" w:rsidP="00E034B8">
            <w:pPr>
              <w:keepNext/>
              <w:keepLines/>
              <w:widowControl/>
            </w:pPr>
          </w:p>
        </w:tc>
        <w:tc>
          <w:tcPr>
            <w:tcW w:w="1073" w:type="dxa"/>
          </w:tcPr>
          <w:p w14:paraId="4FCD5D39" w14:textId="480F8306" w:rsidR="00C16713" w:rsidRPr="00E034B8" w:rsidRDefault="00C16713" w:rsidP="00E034B8">
            <w:pPr>
              <w:keepNext/>
              <w:keepLines/>
              <w:widowControl/>
              <w:jc w:val="right"/>
            </w:pPr>
            <w:r w:rsidRPr="00E034B8">
              <w:t>NSW</w:t>
            </w:r>
            <w:r w:rsidRPr="00E034B8">
              <w:br/>
            </w:r>
            <w:r>
              <w:t>(</w:t>
            </w:r>
            <w:r w:rsidR="001C5667">
              <w:t>2012 to 2022</w:t>
            </w:r>
            <w:r>
              <w:t>)</w:t>
            </w:r>
          </w:p>
        </w:tc>
        <w:tc>
          <w:tcPr>
            <w:tcW w:w="1074" w:type="dxa"/>
          </w:tcPr>
          <w:p w14:paraId="147E3FFB" w14:textId="58C463BC" w:rsidR="00C16713" w:rsidRPr="00E034B8" w:rsidRDefault="00C16713" w:rsidP="00E034B8">
            <w:pPr>
              <w:keepNext/>
              <w:keepLines/>
              <w:widowControl/>
              <w:jc w:val="right"/>
            </w:pPr>
            <w:r w:rsidRPr="00E034B8">
              <w:t>SA</w:t>
            </w:r>
            <w:r w:rsidRPr="00E034B8">
              <w:br/>
            </w:r>
            <w:r>
              <w:t>(</w:t>
            </w:r>
            <w:r w:rsidR="003C1ACF">
              <w:t>2012 to 2017</w:t>
            </w:r>
            <w:r>
              <w:t>)</w:t>
            </w:r>
          </w:p>
        </w:tc>
        <w:tc>
          <w:tcPr>
            <w:tcW w:w="1074" w:type="dxa"/>
          </w:tcPr>
          <w:p w14:paraId="3EBAC9E7" w14:textId="77777777" w:rsidR="00C16713" w:rsidRDefault="00C16713">
            <w:pPr>
              <w:keepNext/>
              <w:keepLines/>
              <w:widowControl/>
              <w:jc w:val="right"/>
            </w:pPr>
            <w:r>
              <w:t xml:space="preserve">Tas </w:t>
            </w:r>
          </w:p>
          <w:p w14:paraId="74705C11" w14:textId="0095CCD3" w:rsidR="00C16713" w:rsidRPr="00C16713" w:rsidRDefault="001C5667">
            <w:pPr>
              <w:keepNext/>
              <w:keepLines/>
              <w:widowControl/>
              <w:jc w:val="right"/>
            </w:pPr>
            <w:r w:rsidRPr="001C5667">
              <w:t>(2012 to 2022)</w:t>
            </w:r>
          </w:p>
        </w:tc>
        <w:tc>
          <w:tcPr>
            <w:tcW w:w="1074" w:type="dxa"/>
          </w:tcPr>
          <w:p w14:paraId="15F29138" w14:textId="03768246" w:rsidR="00C16713" w:rsidRPr="00E034B8" w:rsidRDefault="00C16713" w:rsidP="00E034B8">
            <w:pPr>
              <w:keepNext/>
              <w:keepLines/>
              <w:widowControl/>
              <w:jc w:val="right"/>
            </w:pPr>
            <w:r w:rsidRPr="00E034B8">
              <w:t>WA</w:t>
            </w:r>
          </w:p>
          <w:p w14:paraId="15B9C6C5" w14:textId="13B6F3F8" w:rsidR="00C16713" w:rsidRPr="00E034B8" w:rsidRDefault="001C5667" w:rsidP="00E034B8">
            <w:pPr>
              <w:keepNext/>
              <w:keepLines/>
              <w:widowControl/>
              <w:jc w:val="right"/>
            </w:pPr>
            <w:r w:rsidRPr="001C5667">
              <w:t>(2012 to 2022)</w:t>
            </w:r>
          </w:p>
        </w:tc>
        <w:tc>
          <w:tcPr>
            <w:tcW w:w="1074" w:type="dxa"/>
          </w:tcPr>
          <w:p w14:paraId="130B3A9A" w14:textId="77777777" w:rsidR="00C16713" w:rsidRPr="00E034B8" w:rsidRDefault="00C16713" w:rsidP="00E034B8">
            <w:pPr>
              <w:keepNext/>
              <w:keepLines/>
              <w:widowControl/>
              <w:jc w:val="right"/>
            </w:pPr>
            <w:r w:rsidRPr="00E034B8">
              <w:t>Vic</w:t>
            </w:r>
          </w:p>
          <w:p w14:paraId="30D3E0EA" w14:textId="6C82A08F" w:rsidR="00C16713" w:rsidRPr="00E034B8" w:rsidRDefault="003C1ACF" w:rsidP="00E034B8">
            <w:pPr>
              <w:keepNext/>
              <w:keepLines/>
              <w:widowControl/>
              <w:jc w:val="right"/>
            </w:pPr>
            <w:r w:rsidRPr="003C1ACF">
              <w:t>(2012 to 2017)</w:t>
            </w:r>
          </w:p>
        </w:tc>
        <w:tc>
          <w:tcPr>
            <w:tcW w:w="964" w:type="dxa"/>
          </w:tcPr>
          <w:p w14:paraId="771ABC54" w14:textId="19374607" w:rsidR="00C16713" w:rsidRPr="00E034B8" w:rsidRDefault="00C16713" w:rsidP="00E034B8">
            <w:pPr>
              <w:keepNext/>
              <w:keepLines/>
              <w:widowControl/>
              <w:jc w:val="right"/>
            </w:pPr>
            <w:r w:rsidRPr="00E034B8">
              <w:t>Total</w:t>
            </w:r>
          </w:p>
        </w:tc>
      </w:tr>
      <w:tr w:rsidR="004862C4" w14:paraId="11024E24" w14:textId="77777777" w:rsidTr="004862C4">
        <w:tc>
          <w:tcPr>
            <w:tcW w:w="3118" w:type="dxa"/>
          </w:tcPr>
          <w:p w14:paraId="0AA01A60" w14:textId="64427029" w:rsidR="004862C4" w:rsidRPr="00E034B8" w:rsidRDefault="004862C4" w:rsidP="004862C4">
            <w:pPr>
              <w:keepNext/>
              <w:keepLines/>
              <w:widowControl/>
            </w:pPr>
            <w:r>
              <w:t>Total number of s</w:t>
            </w:r>
            <w:r w:rsidRPr="00E034B8">
              <w:t>amples tested</w:t>
            </w:r>
            <w:r w:rsidR="002D6FB4">
              <w:t xml:space="preserve"> over time period</w:t>
            </w:r>
          </w:p>
        </w:tc>
        <w:tc>
          <w:tcPr>
            <w:tcW w:w="1073" w:type="dxa"/>
            <w:vAlign w:val="center"/>
          </w:tcPr>
          <w:p w14:paraId="3B208D85" w14:textId="2036CF99" w:rsidR="004862C4" w:rsidRPr="00461910" w:rsidRDefault="004862C4" w:rsidP="004862C4">
            <w:pPr>
              <w:keepNext/>
              <w:keepLines/>
              <w:widowControl/>
              <w:jc w:val="right"/>
            </w:pPr>
            <w:r w:rsidRPr="008349D1">
              <w:t xml:space="preserve"> 6,172 </w:t>
            </w:r>
          </w:p>
        </w:tc>
        <w:tc>
          <w:tcPr>
            <w:tcW w:w="1074" w:type="dxa"/>
            <w:vAlign w:val="center"/>
          </w:tcPr>
          <w:p w14:paraId="6AE20D71" w14:textId="744C0EE9" w:rsidR="004862C4" w:rsidRPr="00461910" w:rsidRDefault="004862C4" w:rsidP="004862C4">
            <w:pPr>
              <w:keepNext/>
              <w:keepLines/>
              <w:widowControl/>
              <w:jc w:val="right"/>
            </w:pPr>
            <w:r w:rsidRPr="008349D1">
              <w:t xml:space="preserve"> 426 </w:t>
            </w:r>
          </w:p>
        </w:tc>
        <w:tc>
          <w:tcPr>
            <w:tcW w:w="1074" w:type="dxa"/>
            <w:vAlign w:val="center"/>
          </w:tcPr>
          <w:p w14:paraId="7D2A97FE" w14:textId="7F6CE170" w:rsidR="004862C4" w:rsidRPr="00461910" w:rsidRDefault="004862C4" w:rsidP="004862C4">
            <w:pPr>
              <w:keepNext/>
              <w:keepLines/>
              <w:widowControl/>
              <w:jc w:val="right"/>
            </w:pPr>
            <w:r w:rsidRPr="008349D1">
              <w:t xml:space="preserve"> 8,939 </w:t>
            </w:r>
          </w:p>
        </w:tc>
        <w:tc>
          <w:tcPr>
            <w:tcW w:w="1074" w:type="dxa"/>
            <w:vAlign w:val="center"/>
          </w:tcPr>
          <w:p w14:paraId="6615D37F" w14:textId="2F66E0D9" w:rsidR="004862C4" w:rsidRPr="00461910" w:rsidRDefault="004862C4" w:rsidP="004862C4">
            <w:pPr>
              <w:keepNext/>
              <w:keepLines/>
              <w:widowControl/>
              <w:jc w:val="right"/>
            </w:pPr>
            <w:r w:rsidRPr="008349D1">
              <w:t xml:space="preserve"> 394 </w:t>
            </w:r>
          </w:p>
        </w:tc>
        <w:tc>
          <w:tcPr>
            <w:tcW w:w="1074" w:type="dxa"/>
            <w:vAlign w:val="center"/>
          </w:tcPr>
          <w:p w14:paraId="6E5FA273" w14:textId="001AD0EA" w:rsidR="004862C4" w:rsidRPr="00461910" w:rsidRDefault="004862C4" w:rsidP="004862C4">
            <w:pPr>
              <w:keepNext/>
              <w:keepLines/>
              <w:widowControl/>
              <w:jc w:val="right"/>
            </w:pPr>
            <w:r w:rsidRPr="008349D1">
              <w:t xml:space="preserve"> 268 </w:t>
            </w:r>
          </w:p>
        </w:tc>
        <w:tc>
          <w:tcPr>
            <w:tcW w:w="964" w:type="dxa"/>
            <w:vAlign w:val="center"/>
          </w:tcPr>
          <w:p w14:paraId="65E80485" w14:textId="20ADE790" w:rsidR="004862C4" w:rsidRPr="00461910" w:rsidRDefault="004862C4" w:rsidP="004862C4">
            <w:pPr>
              <w:keepNext/>
              <w:keepLines/>
              <w:widowControl/>
              <w:jc w:val="right"/>
            </w:pPr>
            <w:r w:rsidRPr="008349D1">
              <w:t xml:space="preserve"> 16,199 </w:t>
            </w:r>
          </w:p>
        </w:tc>
      </w:tr>
      <w:tr w:rsidR="004862C4" w14:paraId="384C938E" w14:textId="77777777" w:rsidTr="004862C4">
        <w:tc>
          <w:tcPr>
            <w:tcW w:w="3118" w:type="dxa"/>
          </w:tcPr>
          <w:p w14:paraId="0DC68328" w14:textId="212B9440" w:rsidR="004862C4" w:rsidRPr="00E034B8" w:rsidRDefault="004862C4" w:rsidP="004862C4">
            <w:pPr>
              <w:keepNext/>
              <w:keepLines/>
              <w:widowControl/>
            </w:pPr>
            <w:r>
              <w:t>Total number of s</w:t>
            </w:r>
            <w:r w:rsidRPr="00E034B8">
              <w:t>amples exceeding existing limit</w:t>
            </w:r>
          </w:p>
        </w:tc>
        <w:tc>
          <w:tcPr>
            <w:tcW w:w="1073" w:type="dxa"/>
            <w:vAlign w:val="center"/>
          </w:tcPr>
          <w:p w14:paraId="13A24DE1" w14:textId="7412CBF9" w:rsidR="004862C4" w:rsidRPr="00461910" w:rsidRDefault="004862C4" w:rsidP="004862C4">
            <w:pPr>
              <w:keepNext/>
              <w:keepLines/>
              <w:widowControl/>
              <w:jc w:val="right"/>
            </w:pPr>
            <w:r w:rsidRPr="008349D1">
              <w:t xml:space="preserve"> 13 </w:t>
            </w:r>
          </w:p>
        </w:tc>
        <w:tc>
          <w:tcPr>
            <w:tcW w:w="1074" w:type="dxa"/>
            <w:vAlign w:val="center"/>
          </w:tcPr>
          <w:p w14:paraId="54927AFE" w14:textId="68EE1A98" w:rsidR="004862C4" w:rsidRPr="00461910" w:rsidRDefault="004862C4" w:rsidP="004862C4">
            <w:pPr>
              <w:keepNext/>
              <w:keepLines/>
              <w:widowControl/>
              <w:jc w:val="right"/>
            </w:pPr>
            <w:r w:rsidRPr="008349D1">
              <w:t xml:space="preserve"> 16 </w:t>
            </w:r>
          </w:p>
        </w:tc>
        <w:tc>
          <w:tcPr>
            <w:tcW w:w="1074" w:type="dxa"/>
            <w:vAlign w:val="center"/>
          </w:tcPr>
          <w:p w14:paraId="12853C57" w14:textId="56E4EBC3" w:rsidR="004862C4" w:rsidRPr="00461910" w:rsidRDefault="004862C4" w:rsidP="004862C4">
            <w:pPr>
              <w:keepNext/>
              <w:keepLines/>
              <w:widowControl/>
              <w:jc w:val="right"/>
            </w:pPr>
            <w:r w:rsidRPr="008349D1">
              <w:t xml:space="preserve"> 8 </w:t>
            </w:r>
          </w:p>
        </w:tc>
        <w:tc>
          <w:tcPr>
            <w:tcW w:w="1074" w:type="dxa"/>
            <w:vAlign w:val="center"/>
          </w:tcPr>
          <w:p w14:paraId="1C6895D2" w14:textId="4928C871" w:rsidR="004862C4" w:rsidRPr="00461910" w:rsidRDefault="004862C4" w:rsidP="004862C4">
            <w:pPr>
              <w:keepNext/>
              <w:keepLines/>
              <w:widowControl/>
              <w:jc w:val="right"/>
            </w:pPr>
            <w:r w:rsidRPr="008349D1">
              <w:t xml:space="preserve"> 1 </w:t>
            </w:r>
          </w:p>
        </w:tc>
        <w:tc>
          <w:tcPr>
            <w:tcW w:w="1074" w:type="dxa"/>
            <w:vAlign w:val="center"/>
          </w:tcPr>
          <w:p w14:paraId="73486650" w14:textId="263542CD" w:rsidR="004862C4" w:rsidRPr="00461910" w:rsidRDefault="004862C4" w:rsidP="004862C4">
            <w:pPr>
              <w:keepNext/>
              <w:keepLines/>
              <w:widowControl/>
              <w:jc w:val="right"/>
            </w:pPr>
            <w:r w:rsidRPr="008349D1">
              <w:t xml:space="preserve"> 8 </w:t>
            </w:r>
          </w:p>
        </w:tc>
        <w:tc>
          <w:tcPr>
            <w:tcW w:w="964" w:type="dxa"/>
            <w:vAlign w:val="center"/>
          </w:tcPr>
          <w:p w14:paraId="3B8A00C7" w14:textId="00BF0F44" w:rsidR="004862C4" w:rsidRPr="00461910" w:rsidRDefault="004862C4" w:rsidP="004862C4">
            <w:pPr>
              <w:keepNext/>
              <w:keepLines/>
              <w:widowControl/>
              <w:jc w:val="right"/>
            </w:pPr>
            <w:r w:rsidRPr="008349D1">
              <w:t xml:space="preserve"> 40 </w:t>
            </w:r>
          </w:p>
        </w:tc>
      </w:tr>
      <w:tr w:rsidR="004862C4" w14:paraId="0275BB45" w14:textId="3ABF66CF" w:rsidTr="004862C4">
        <w:tc>
          <w:tcPr>
            <w:tcW w:w="3118" w:type="dxa"/>
          </w:tcPr>
          <w:p w14:paraId="45277DF4" w14:textId="40273C5A" w:rsidR="004862C4" w:rsidRPr="00E034B8" w:rsidRDefault="004862C4" w:rsidP="004862C4">
            <w:pPr>
              <w:keepNext/>
              <w:keepLines/>
              <w:widowControl/>
            </w:pPr>
            <w:r>
              <w:t>Proportion of s</w:t>
            </w:r>
            <w:r w:rsidRPr="00E034B8">
              <w:t>amples exceeding existing limit (%)</w:t>
            </w:r>
          </w:p>
        </w:tc>
        <w:tc>
          <w:tcPr>
            <w:tcW w:w="1073" w:type="dxa"/>
            <w:vAlign w:val="center"/>
          </w:tcPr>
          <w:p w14:paraId="1717C0C0" w14:textId="2BDF8212" w:rsidR="004862C4" w:rsidRPr="00E034B8" w:rsidRDefault="004862C4" w:rsidP="004862C4">
            <w:pPr>
              <w:keepNext/>
              <w:keepLines/>
              <w:widowControl/>
              <w:jc w:val="right"/>
            </w:pPr>
            <w:r w:rsidRPr="008349D1">
              <w:t>0.21%</w:t>
            </w:r>
          </w:p>
        </w:tc>
        <w:tc>
          <w:tcPr>
            <w:tcW w:w="1074" w:type="dxa"/>
            <w:vAlign w:val="center"/>
          </w:tcPr>
          <w:p w14:paraId="054A47B1" w14:textId="2D15418E" w:rsidR="004862C4" w:rsidRPr="00E034B8" w:rsidRDefault="004862C4" w:rsidP="004862C4">
            <w:pPr>
              <w:keepNext/>
              <w:keepLines/>
              <w:widowControl/>
              <w:jc w:val="right"/>
            </w:pPr>
            <w:r w:rsidRPr="008349D1">
              <w:t>3.76%</w:t>
            </w:r>
          </w:p>
        </w:tc>
        <w:tc>
          <w:tcPr>
            <w:tcW w:w="1074" w:type="dxa"/>
            <w:vAlign w:val="center"/>
          </w:tcPr>
          <w:p w14:paraId="6DC0045C" w14:textId="1D4FAAAF" w:rsidR="004862C4" w:rsidRPr="00C16713" w:rsidRDefault="004862C4" w:rsidP="004862C4">
            <w:pPr>
              <w:keepNext/>
              <w:keepLines/>
              <w:widowControl/>
              <w:jc w:val="right"/>
              <w:rPr>
                <w:rFonts w:cs="Arial"/>
                <w:color w:val="000000"/>
                <w:szCs w:val="22"/>
              </w:rPr>
            </w:pPr>
            <w:r w:rsidRPr="008349D1">
              <w:t>0.09%</w:t>
            </w:r>
          </w:p>
        </w:tc>
        <w:tc>
          <w:tcPr>
            <w:tcW w:w="1074" w:type="dxa"/>
            <w:vAlign w:val="center"/>
          </w:tcPr>
          <w:p w14:paraId="40B72250" w14:textId="6E435FC8" w:rsidR="004862C4" w:rsidRPr="00E034B8" w:rsidRDefault="004862C4" w:rsidP="004862C4">
            <w:pPr>
              <w:keepNext/>
              <w:keepLines/>
              <w:widowControl/>
              <w:jc w:val="right"/>
            </w:pPr>
            <w:r w:rsidRPr="008349D1">
              <w:t>0.25%</w:t>
            </w:r>
          </w:p>
        </w:tc>
        <w:tc>
          <w:tcPr>
            <w:tcW w:w="1074" w:type="dxa"/>
            <w:vAlign w:val="center"/>
          </w:tcPr>
          <w:p w14:paraId="4CAC20DE" w14:textId="0A77861F" w:rsidR="004862C4" w:rsidRPr="00E034B8" w:rsidRDefault="004862C4" w:rsidP="004862C4">
            <w:pPr>
              <w:keepNext/>
              <w:keepLines/>
              <w:widowControl/>
              <w:jc w:val="right"/>
            </w:pPr>
            <w:r w:rsidRPr="008349D1">
              <w:t>2.99%</w:t>
            </w:r>
          </w:p>
        </w:tc>
        <w:tc>
          <w:tcPr>
            <w:tcW w:w="964" w:type="dxa"/>
            <w:vAlign w:val="center"/>
          </w:tcPr>
          <w:p w14:paraId="5BD7EA31" w14:textId="75435BB2" w:rsidR="004862C4" w:rsidRPr="00E034B8" w:rsidRDefault="004862C4" w:rsidP="004862C4">
            <w:pPr>
              <w:keepNext/>
              <w:keepLines/>
              <w:widowControl/>
              <w:jc w:val="right"/>
            </w:pPr>
            <w:r w:rsidRPr="008349D1">
              <w:t>0.49%</w:t>
            </w:r>
          </w:p>
        </w:tc>
      </w:tr>
      <w:tr w:rsidR="004862C4" w14:paraId="250E3BAB" w14:textId="77777777" w:rsidTr="004862C4">
        <w:tc>
          <w:tcPr>
            <w:tcW w:w="3118" w:type="dxa"/>
          </w:tcPr>
          <w:p w14:paraId="15526266" w14:textId="2E50E3C1" w:rsidR="004862C4" w:rsidRPr="00E034B8" w:rsidRDefault="004862C4" w:rsidP="004862C4">
            <w:pPr>
              <w:keepNext/>
              <w:keepLines/>
              <w:widowControl/>
            </w:pPr>
            <w:r>
              <w:t>Total number of s</w:t>
            </w:r>
            <w:r w:rsidRPr="00E034B8">
              <w:t>amples exceeding proposed limit</w:t>
            </w:r>
          </w:p>
        </w:tc>
        <w:tc>
          <w:tcPr>
            <w:tcW w:w="1073" w:type="dxa"/>
            <w:vAlign w:val="center"/>
          </w:tcPr>
          <w:p w14:paraId="14959869" w14:textId="0E47D8C7" w:rsidR="004862C4" w:rsidRPr="00461910" w:rsidRDefault="004862C4" w:rsidP="004862C4">
            <w:pPr>
              <w:keepNext/>
              <w:keepLines/>
              <w:widowControl/>
              <w:jc w:val="right"/>
            </w:pPr>
            <w:r w:rsidRPr="008349D1">
              <w:t xml:space="preserve"> 20 </w:t>
            </w:r>
          </w:p>
        </w:tc>
        <w:tc>
          <w:tcPr>
            <w:tcW w:w="1074" w:type="dxa"/>
            <w:vAlign w:val="center"/>
          </w:tcPr>
          <w:p w14:paraId="4A04A4D9" w14:textId="357FBA9B" w:rsidR="004862C4" w:rsidRPr="00461910" w:rsidRDefault="004862C4" w:rsidP="004862C4">
            <w:pPr>
              <w:keepNext/>
              <w:keepLines/>
              <w:widowControl/>
              <w:jc w:val="right"/>
            </w:pPr>
            <w:r w:rsidRPr="008349D1">
              <w:t xml:space="preserve"> 22 </w:t>
            </w:r>
          </w:p>
        </w:tc>
        <w:tc>
          <w:tcPr>
            <w:tcW w:w="1074" w:type="dxa"/>
            <w:vAlign w:val="center"/>
          </w:tcPr>
          <w:p w14:paraId="2F34F538" w14:textId="64342352" w:rsidR="004862C4" w:rsidRPr="00461910" w:rsidRDefault="004862C4" w:rsidP="004862C4">
            <w:pPr>
              <w:keepNext/>
              <w:keepLines/>
              <w:widowControl/>
              <w:jc w:val="right"/>
            </w:pPr>
            <w:r w:rsidRPr="008349D1">
              <w:t xml:space="preserve"> 9 </w:t>
            </w:r>
          </w:p>
        </w:tc>
        <w:tc>
          <w:tcPr>
            <w:tcW w:w="1074" w:type="dxa"/>
            <w:vAlign w:val="center"/>
          </w:tcPr>
          <w:p w14:paraId="1DB03DC3" w14:textId="7AEAFCBE" w:rsidR="004862C4" w:rsidRPr="00461910" w:rsidRDefault="004862C4" w:rsidP="004862C4">
            <w:pPr>
              <w:keepNext/>
              <w:keepLines/>
              <w:widowControl/>
              <w:jc w:val="right"/>
            </w:pPr>
            <w:r w:rsidRPr="008349D1">
              <w:t xml:space="preserve"> 2 </w:t>
            </w:r>
          </w:p>
        </w:tc>
        <w:tc>
          <w:tcPr>
            <w:tcW w:w="1074" w:type="dxa"/>
            <w:vAlign w:val="center"/>
          </w:tcPr>
          <w:p w14:paraId="0D3E2235" w14:textId="24AB082E" w:rsidR="004862C4" w:rsidRPr="00461910" w:rsidRDefault="004862C4" w:rsidP="004862C4">
            <w:pPr>
              <w:keepNext/>
              <w:keepLines/>
              <w:widowControl/>
              <w:jc w:val="right"/>
            </w:pPr>
            <w:r w:rsidRPr="008349D1">
              <w:t xml:space="preserve"> 10 </w:t>
            </w:r>
          </w:p>
        </w:tc>
        <w:tc>
          <w:tcPr>
            <w:tcW w:w="964" w:type="dxa"/>
            <w:vAlign w:val="center"/>
          </w:tcPr>
          <w:p w14:paraId="23B2FFDB" w14:textId="63D641DF" w:rsidR="004862C4" w:rsidRPr="00461910" w:rsidRDefault="004862C4" w:rsidP="004862C4">
            <w:pPr>
              <w:keepNext/>
              <w:keepLines/>
              <w:widowControl/>
              <w:jc w:val="right"/>
            </w:pPr>
            <w:r w:rsidRPr="008349D1">
              <w:t xml:space="preserve"> 53 </w:t>
            </w:r>
          </w:p>
        </w:tc>
      </w:tr>
      <w:tr w:rsidR="004862C4" w14:paraId="04C2729F" w14:textId="2C7EC518" w:rsidTr="004862C4">
        <w:tc>
          <w:tcPr>
            <w:tcW w:w="3118" w:type="dxa"/>
          </w:tcPr>
          <w:p w14:paraId="799DF8A4" w14:textId="10FDA391" w:rsidR="004862C4" w:rsidRPr="00E034B8" w:rsidRDefault="004862C4" w:rsidP="004862C4">
            <w:pPr>
              <w:keepNext/>
              <w:keepLines/>
              <w:widowControl/>
            </w:pPr>
            <w:r>
              <w:t>Proportion of s</w:t>
            </w:r>
            <w:r w:rsidRPr="00E034B8">
              <w:t>amples exceeding proposed limit (%)</w:t>
            </w:r>
          </w:p>
        </w:tc>
        <w:tc>
          <w:tcPr>
            <w:tcW w:w="1073" w:type="dxa"/>
            <w:vAlign w:val="center"/>
          </w:tcPr>
          <w:p w14:paraId="3C589CB9" w14:textId="6B7AC0A5" w:rsidR="004862C4" w:rsidRPr="00E034B8" w:rsidRDefault="004862C4" w:rsidP="004862C4">
            <w:pPr>
              <w:keepNext/>
              <w:keepLines/>
              <w:widowControl/>
              <w:jc w:val="right"/>
            </w:pPr>
            <w:r w:rsidRPr="008349D1">
              <w:t>0.32%</w:t>
            </w:r>
          </w:p>
        </w:tc>
        <w:tc>
          <w:tcPr>
            <w:tcW w:w="1074" w:type="dxa"/>
            <w:vAlign w:val="center"/>
          </w:tcPr>
          <w:p w14:paraId="2E813A67" w14:textId="54C00C65" w:rsidR="004862C4" w:rsidRPr="00E034B8" w:rsidRDefault="004862C4" w:rsidP="004862C4">
            <w:pPr>
              <w:keepNext/>
              <w:keepLines/>
              <w:widowControl/>
              <w:jc w:val="right"/>
            </w:pPr>
            <w:r w:rsidRPr="008349D1">
              <w:t>5.16%</w:t>
            </w:r>
          </w:p>
        </w:tc>
        <w:tc>
          <w:tcPr>
            <w:tcW w:w="1074" w:type="dxa"/>
            <w:vAlign w:val="center"/>
          </w:tcPr>
          <w:p w14:paraId="0DE2145F" w14:textId="678F1A94" w:rsidR="004862C4" w:rsidRPr="00C16713" w:rsidRDefault="004862C4" w:rsidP="004862C4">
            <w:pPr>
              <w:keepNext/>
              <w:keepLines/>
              <w:widowControl/>
              <w:jc w:val="right"/>
              <w:rPr>
                <w:rFonts w:cs="Arial"/>
                <w:color w:val="000000"/>
                <w:szCs w:val="22"/>
              </w:rPr>
            </w:pPr>
            <w:r w:rsidRPr="008349D1">
              <w:t>0.10%</w:t>
            </w:r>
          </w:p>
        </w:tc>
        <w:tc>
          <w:tcPr>
            <w:tcW w:w="1074" w:type="dxa"/>
            <w:vAlign w:val="center"/>
          </w:tcPr>
          <w:p w14:paraId="55C14413" w14:textId="0982B24C" w:rsidR="004862C4" w:rsidRPr="00E034B8" w:rsidRDefault="004862C4" w:rsidP="004862C4">
            <w:pPr>
              <w:keepNext/>
              <w:keepLines/>
              <w:widowControl/>
              <w:jc w:val="right"/>
            </w:pPr>
            <w:r w:rsidRPr="008349D1">
              <w:t>0.51%</w:t>
            </w:r>
          </w:p>
        </w:tc>
        <w:tc>
          <w:tcPr>
            <w:tcW w:w="1074" w:type="dxa"/>
            <w:vAlign w:val="center"/>
          </w:tcPr>
          <w:p w14:paraId="725D6A43" w14:textId="4A78ACB2" w:rsidR="004862C4" w:rsidRPr="00E034B8" w:rsidRDefault="004862C4" w:rsidP="004862C4">
            <w:pPr>
              <w:keepNext/>
              <w:keepLines/>
              <w:widowControl/>
              <w:jc w:val="right"/>
            </w:pPr>
            <w:r w:rsidRPr="008349D1">
              <w:t>3.73%</w:t>
            </w:r>
          </w:p>
        </w:tc>
        <w:tc>
          <w:tcPr>
            <w:tcW w:w="964" w:type="dxa"/>
            <w:vAlign w:val="center"/>
          </w:tcPr>
          <w:p w14:paraId="165BE1D8" w14:textId="3C59C6AC" w:rsidR="004862C4" w:rsidRPr="00E034B8" w:rsidRDefault="004862C4" w:rsidP="004862C4">
            <w:pPr>
              <w:keepNext/>
              <w:keepLines/>
              <w:widowControl/>
              <w:jc w:val="right"/>
            </w:pPr>
            <w:r w:rsidRPr="008349D1">
              <w:t>0.65%</w:t>
            </w:r>
          </w:p>
        </w:tc>
      </w:tr>
      <w:tr w:rsidR="004862C4" w14:paraId="57A9A291" w14:textId="7F790A25" w:rsidTr="004862C4">
        <w:tc>
          <w:tcPr>
            <w:tcW w:w="3118" w:type="dxa"/>
          </w:tcPr>
          <w:p w14:paraId="32B3EEFE" w14:textId="3E48AB3E" w:rsidR="004862C4" w:rsidRPr="00FA3529" w:rsidRDefault="004862C4" w:rsidP="004862C4">
            <w:pPr>
              <w:keepNext/>
              <w:keepLines/>
              <w:widowControl/>
              <w:rPr>
                <w:b/>
                <w:bCs/>
              </w:rPr>
            </w:pPr>
            <w:r w:rsidRPr="00FA3529">
              <w:rPr>
                <w:b/>
                <w:bCs/>
              </w:rPr>
              <w:t xml:space="preserve">Number of additional </w:t>
            </w:r>
            <w:r w:rsidR="005729A9">
              <w:rPr>
                <w:b/>
                <w:bCs/>
              </w:rPr>
              <w:t>detections</w:t>
            </w:r>
            <w:r w:rsidR="005729A9" w:rsidRPr="00FA3529">
              <w:rPr>
                <w:b/>
                <w:bCs/>
              </w:rPr>
              <w:t xml:space="preserve"> </w:t>
            </w:r>
            <w:r w:rsidRPr="00FA3529">
              <w:rPr>
                <w:b/>
                <w:bCs/>
              </w:rPr>
              <w:t>per year</w:t>
            </w:r>
          </w:p>
        </w:tc>
        <w:tc>
          <w:tcPr>
            <w:tcW w:w="1073" w:type="dxa"/>
            <w:vAlign w:val="center"/>
          </w:tcPr>
          <w:p w14:paraId="3BE446B6" w14:textId="14B1B8AD" w:rsidR="004862C4" w:rsidRPr="00FA3529" w:rsidRDefault="004862C4" w:rsidP="004862C4">
            <w:pPr>
              <w:keepNext/>
              <w:keepLines/>
              <w:widowControl/>
              <w:jc w:val="right"/>
              <w:rPr>
                <w:b/>
                <w:bCs/>
              </w:rPr>
            </w:pPr>
            <w:r w:rsidRPr="00FA3529">
              <w:rPr>
                <w:b/>
                <w:bCs/>
              </w:rPr>
              <w:t>+0.6</w:t>
            </w:r>
          </w:p>
        </w:tc>
        <w:tc>
          <w:tcPr>
            <w:tcW w:w="1074" w:type="dxa"/>
            <w:vAlign w:val="center"/>
          </w:tcPr>
          <w:p w14:paraId="3F79960C" w14:textId="71D547B7" w:rsidR="004862C4" w:rsidRPr="00FA3529" w:rsidRDefault="004862C4" w:rsidP="004862C4">
            <w:pPr>
              <w:keepNext/>
              <w:keepLines/>
              <w:widowControl/>
              <w:jc w:val="right"/>
              <w:rPr>
                <w:b/>
                <w:bCs/>
              </w:rPr>
            </w:pPr>
            <w:r w:rsidRPr="00FA3529">
              <w:rPr>
                <w:b/>
                <w:bCs/>
              </w:rPr>
              <w:t>+1.0</w:t>
            </w:r>
          </w:p>
        </w:tc>
        <w:tc>
          <w:tcPr>
            <w:tcW w:w="1074" w:type="dxa"/>
            <w:vAlign w:val="center"/>
          </w:tcPr>
          <w:p w14:paraId="352C43F8" w14:textId="47735539" w:rsidR="004862C4" w:rsidRPr="00FA3529" w:rsidRDefault="004862C4" w:rsidP="004862C4">
            <w:pPr>
              <w:keepNext/>
              <w:keepLines/>
              <w:widowControl/>
              <w:jc w:val="right"/>
              <w:rPr>
                <w:rFonts w:cs="Arial"/>
                <w:b/>
                <w:bCs/>
                <w:color w:val="000000"/>
                <w:szCs w:val="22"/>
              </w:rPr>
            </w:pPr>
            <w:r w:rsidRPr="00FA3529">
              <w:rPr>
                <w:b/>
                <w:bCs/>
              </w:rPr>
              <w:t>+0.1</w:t>
            </w:r>
          </w:p>
        </w:tc>
        <w:tc>
          <w:tcPr>
            <w:tcW w:w="1074" w:type="dxa"/>
            <w:vAlign w:val="center"/>
          </w:tcPr>
          <w:p w14:paraId="22928F6E" w14:textId="48AF01CC" w:rsidR="004862C4" w:rsidRPr="00FA3529" w:rsidRDefault="004862C4" w:rsidP="004862C4">
            <w:pPr>
              <w:keepNext/>
              <w:keepLines/>
              <w:widowControl/>
              <w:jc w:val="right"/>
              <w:rPr>
                <w:b/>
                <w:bCs/>
              </w:rPr>
            </w:pPr>
            <w:r w:rsidRPr="00FA3529">
              <w:rPr>
                <w:b/>
                <w:bCs/>
              </w:rPr>
              <w:t>+0.1</w:t>
            </w:r>
          </w:p>
        </w:tc>
        <w:tc>
          <w:tcPr>
            <w:tcW w:w="1074" w:type="dxa"/>
            <w:vAlign w:val="center"/>
          </w:tcPr>
          <w:p w14:paraId="6B953F48" w14:textId="730EA0A4" w:rsidR="004862C4" w:rsidRPr="00FA3529" w:rsidRDefault="004862C4" w:rsidP="004862C4">
            <w:pPr>
              <w:keepNext/>
              <w:keepLines/>
              <w:widowControl/>
              <w:jc w:val="right"/>
              <w:rPr>
                <w:b/>
                <w:bCs/>
              </w:rPr>
            </w:pPr>
            <w:r w:rsidRPr="00FA3529">
              <w:rPr>
                <w:b/>
                <w:bCs/>
              </w:rPr>
              <w:t>+0.3</w:t>
            </w:r>
          </w:p>
        </w:tc>
        <w:tc>
          <w:tcPr>
            <w:tcW w:w="964" w:type="dxa"/>
            <w:vAlign w:val="center"/>
          </w:tcPr>
          <w:p w14:paraId="61872B8B" w14:textId="0C5067A7" w:rsidR="004862C4" w:rsidRPr="00FA3529" w:rsidRDefault="004862C4" w:rsidP="004862C4">
            <w:pPr>
              <w:keepNext/>
              <w:keepLines/>
              <w:widowControl/>
              <w:jc w:val="right"/>
              <w:rPr>
                <w:b/>
                <w:bCs/>
              </w:rPr>
            </w:pPr>
            <w:r w:rsidRPr="00FA3529">
              <w:rPr>
                <w:b/>
                <w:bCs/>
              </w:rPr>
              <w:t>+2.2</w:t>
            </w:r>
          </w:p>
        </w:tc>
      </w:tr>
    </w:tbl>
    <w:p w14:paraId="119BCFD5" w14:textId="5CA0C7A4" w:rsidR="002F4295" w:rsidRPr="00DF3F70" w:rsidRDefault="001A4DC6" w:rsidP="00DF3F70">
      <w:pPr>
        <w:rPr>
          <w:i/>
          <w:iCs/>
          <w:lang w:bidi="ar-SA"/>
        </w:rPr>
      </w:pPr>
      <w:r w:rsidRPr="00DF3F70">
        <w:rPr>
          <w:i/>
          <w:iCs/>
          <w:lang w:bidi="ar-SA"/>
        </w:rPr>
        <w:t>Note: few samples were tested in QLD and NT</w:t>
      </w:r>
      <w:r w:rsidR="00564A0B" w:rsidRPr="00DF3F70">
        <w:rPr>
          <w:i/>
          <w:iCs/>
          <w:lang w:bidi="ar-SA"/>
        </w:rPr>
        <w:t xml:space="preserve"> with no </w:t>
      </w:r>
      <w:r w:rsidR="007D3C47" w:rsidRPr="00DF3F70">
        <w:rPr>
          <w:i/>
          <w:iCs/>
          <w:lang w:bidi="ar-SA"/>
        </w:rPr>
        <w:t xml:space="preserve">toxins detected, </w:t>
      </w:r>
      <w:r w:rsidR="005F7A14" w:rsidRPr="00DF3F70">
        <w:rPr>
          <w:i/>
          <w:iCs/>
          <w:lang w:bidi="ar-SA"/>
        </w:rPr>
        <w:t>there</w:t>
      </w:r>
      <w:r w:rsidR="00DF3F70">
        <w:rPr>
          <w:i/>
          <w:iCs/>
          <w:lang w:bidi="ar-SA"/>
        </w:rPr>
        <w:t>fore</w:t>
      </w:r>
      <w:r w:rsidR="005F7A14" w:rsidRPr="00DF3F70">
        <w:rPr>
          <w:i/>
          <w:iCs/>
          <w:lang w:bidi="ar-SA"/>
        </w:rPr>
        <w:t xml:space="preserve"> </w:t>
      </w:r>
      <w:r w:rsidRPr="00DF3F70">
        <w:rPr>
          <w:i/>
          <w:iCs/>
          <w:lang w:bidi="ar-SA"/>
        </w:rPr>
        <w:t>data</w:t>
      </w:r>
      <w:r w:rsidR="005F7A14" w:rsidRPr="00DF3F70">
        <w:rPr>
          <w:i/>
          <w:iCs/>
          <w:lang w:bidi="ar-SA"/>
        </w:rPr>
        <w:t xml:space="preserve"> from these jurisdictions</w:t>
      </w:r>
      <w:r w:rsidRPr="00DF3F70">
        <w:rPr>
          <w:i/>
          <w:iCs/>
          <w:lang w:bidi="ar-SA"/>
        </w:rPr>
        <w:t xml:space="preserve"> has been excluded from the table</w:t>
      </w:r>
      <w:r w:rsidR="005F7A14" w:rsidRPr="00DF3F70">
        <w:rPr>
          <w:i/>
          <w:iCs/>
          <w:lang w:bidi="ar-SA"/>
        </w:rPr>
        <w:t xml:space="preserve"> and the estimate </w:t>
      </w:r>
    </w:p>
    <w:p w14:paraId="173DD77A" w14:textId="77777777" w:rsidR="0065617D" w:rsidRDefault="0065617D" w:rsidP="0065617D"/>
    <w:p w14:paraId="45A81A79" w14:textId="78CB6E4F" w:rsidR="0065617D" w:rsidRDefault="0065617D" w:rsidP="0065617D">
      <w:r>
        <w:t xml:space="preserve">The number of additional closures has not been estimated. </w:t>
      </w:r>
    </w:p>
    <w:p w14:paraId="24CEA440" w14:textId="77777777" w:rsidR="0065617D" w:rsidRDefault="0065617D" w:rsidP="0065617D"/>
    <w:p w14:paraId="1FD2DEE6" w14:textId="04DE4A7C" w:rsidR="00A15340" w:rsidRDefault="00A15340" w:rsidP="00E76B9F">
      <w:r w:rsidRPr="00A15340">
        <w:t xml:space="preserve">Where DST or PST is detected, a number of subsequent tests are performed until there are two consecutive tests where DST or PST is not detected. Therefore, one closure will be associated with more than one detection. The ratio of closures to detections in not known. The number of additional closures </w:t>
      </w:r>
      <w:r w:rsidR="00127D8B">
        <w:t>would</w:t>
      </w:r>
      <w:r w:rsidRPr="00A15340">
        <w:t xml:space="preserve"> be less than the increase in detections. Data is welcomed that may enable this relationship to be established.</w:t>
      </w:r>
    </w:p>
    <w:p w14:paraId="798D7771" w14:textId="3F976582" w:rsidR="000B5A04" w:rsidRDefault="00C72973" w:rsidP="000B5A04">
      <w:pPr>
        <w:pStyle w:val="Heading5"/>
      </w:pPr>
      <w:r>
        <w:t>Potential for i</w:t>
      </w:r>
      <w:r w:rsidR="000B5A04">
        <w:t xml:space="preserve">ncreased number of closures due to </w:t>
      </w:r>
      <w:r w:rsidR="005E5584">
        <w:t xml:space="preserve">increased </w:t>
      </w:r>
      <w:r w:rsidR="000B5A04">
        <w:t>detection of PST</w:t>
      </w:r>
    </w:p>
    <w:p w14:paraId="2962670E" w14:textId="5CC17236" w:rsidR="00D17E97" w:rsidRDefault="00D17E97" w:rsidP="00D17E97">
      <w:pPr>
        <w:rPr>
          <w:lang w:bidi="ar-SA"/>
        </w:rPr>
      </w:pPr>
      <w:r w:rsidRPr="002D6FB4">
        <w:rPr>
          <w:lang w:bidi="ar-SA"/>
        </w:rPr>
        <w:t xml:space="preserve">The below table shows the expected number of additional </w:t>
      </w:r>
      <w:r w:rsidR="00BA34DF">
        <w:rPr>
          <w:lang w:bidi="ar-SA"/>
        </w:rPr>
        <w:t>detections</w:t>
      </w:r>
      <w:r w:rsidR="00BA34DF" w:rsidRPr="002D6FB4">
        <w:rPr>
          <w:lang w:bidi="ar-SA"/>
        </w:rPr>
        <w:t xml:space="preserve"> </w:t>
      </w:r>
      <w:r w:rsidRPr="002D6FB4">
        <w:rPr>
          <w:lang w:bidi="ar-SA"/>
        </w:rPr>
        <w:t xml:space="preserve">per year. It is estimated that there </w:t>
      </w:r>
      <w:r w:rsidR="008B187F">
        <w:rPr>
          <w:lang w:bidi="ar-SA"/>
        </w:rPr>
        <w:t>would</w:t>
      </w:r>
      <w:r w:rsidR="008B187F" w:rsidRPr="002D6FB4">
        <w:rPr>
          <w:lang w:bidi="ar-SA"/>
        </w:rPr>
        <w:t xml:space="preserve"> </w:t>
      </w:r>
      <w:r w:rsidRPr="002D6FB4">
        <w:rPr>
          <w:lang w:bidi="ar-SA"/>
        </w:rPr>
        <w:t xml:space="preserve">be on average </w:t>
      </w:r>
      <w:r>
        <w:rPr>
          <w:lang w:bidi="ar-SA"/>
        </w:rPr>
        <w:t xml:space="preserve">9.7 </w:t>
      </w:r>
      <w:r w:rsidRPr="002D6FB4">
        <w:rPr>
          <w:lang w:bidi="ar-SA"/>
        </w:rPr>
        <w:t>additional</w:t>
      </w:r>
      <w:r w:rsidR="004C5502">
        <w:rPr>
          <w:lang w:bidi="ar-SA"/>
        </w:rPr>
        <w:t xml:space="preserve"> test</w:t>
      </w:r>
      <w:r w:rsidRPr="002D6FB4">
        <w:rPr>
          <w:lang w:bidi="ar-SA"/>
        </w:rPr>
        <w:t xml:space="preserve"> </w:t>
      </w:r>
      <w:r w:rsidR="006066C6">
        <w:rPr>
          <w:lang w:bidi="ar-SA"/>
        </w:rPr>
        <w:t xml:space="preserve">failures </w:t>
      </w:r>
      <w:r w:rsidRPr="002D6FB4">
        <w:rPr>
          <w:lang w:bidi="ar-SA"/>
        </w:rPr>
        <w:t>per year</w:t>
      </w:r>
      <w:r>
        <w:rPr>
          <w:lang w:bidi="ar-SA"/>
        </w:rPr>
        <w:t xml:space="preserve"> due to PST</w:t>
      </w:r>
      <w:r w:rsidRPr="002D6FB4">
        <w:rPr>
          <w:lang w:bidi="ar-SA"/>
        </w:rPr>
        <w:t>.</w:t>
      </w:r>
    </w:p>
    <w:p w14:paraId="3F184ABE" w14:textId="77777777" w:rsidR="00D17E97" w:rsidRDefault="00D17E97" w:rsidP="00D17E97">
      <w:pPr>
        <w:rPr>
          <w:lang w:bidi="ar-SA"/>
        </w:rPr>
      </w:pPr>
    </w:p>
    <w:p w14:paraId="0DB1DFC6" w14:textId="280AC6A9" w:rsidR="004B4A77" w:rsidRDefault="00D17E97" w:rsidP="008A1405">
      <w:pPr>
        <w:rPr>
          <w:lang w:bidi="ar-SA"/>
        </w:rPr>
      </w:pPr>
      <w:r>
        <w:rPr>
          <w:lang w:bidi="ar-SA"/>
        </w:rPr>
        <w:t>This has been calculated based on data provided by the applicant. It is based on the number of detections under the proposed standard, less</w:t>
      </w:r>
      <w:r w:rsidRPr="00702338">
        <w:rPr>
          <w:lang w:bidi="ar-SA"/>
        </w:rPr>
        <w:t xml:space="preserve"> </w:t>
      </w:r>
      <w:r>
        <w:rPr>
          <w:lang w:bidi="ar-SA"/>
        </w:rPr>
        <w:t xml:space="preserve">detections under current standard, divided by the number of years that the data covers. </w:t>
      </w:r>
    </w:p>
    <w:p w14:paraId="407402E2" w14:textId="77777777" w:rsidR="004B4A77" w:rsidRDefault="004B4A77">
      <w:pPr>
        <w:widowControl/>
        <w:rPr>
          <w:lang w:bidi="ar-SA"/>
        </w:rPr>
      </w:pPr>
      <w:r>
        <w:rPr>
          <w:lang w:bidi="ar-SA"/>
        </w:rPr>
        <w:br w:type="page"/>
      </w:r>
    </w:p>
    <w:p w14:paraId="33A3A557" w14:textId="77777777" w:rsidR="008A1405" w:rsidRPr="00E81DC4" w:rsidRDefault="008A1405" w:rsidP="008A1405">
      <w:pPr>
        <w:rPr>
          <w:lang w:bidi="ar-SA"/>
        </w:rPr>
      </w:pPr>
    </w:p>
    <w:p w14:paraId="7BE27702" w14:textId="0EB7A975" w:rsidR="008A1405" w:rsidRDefault="008A1405" w:rsidP="00E034B8">
      <w:pPr>
        <w:pStyle w:val="FSTableTitle"/>
        <w:keepNext/>
        <w:keepLines/>
        <w:widowControl/>
        <w:rPr>
          <w:lang w:bidi="ar-SA"/>
        </w:rPr>
      </w:pPr>
      <w:r>
        <w:rPr>
          <w:lang w:bidi="ar-SA"/>
        </w:rPr>
        <w:t xml:space="preserve">Table </w:t>
      </w:r>
      <w:r w:rsidR="00D81FE0">
        <w:rPr>
          <w:lang w:bidi="ar-SA"/>
        </w:rPr>
        <w:t>4</w:t>
      </w:r>
      <w:r>
        <w:rPr>
          <w:lang w:bidi="ar-SA"/>
        </w:rPr>
        <w:t xml:space="preserve"> – </w:t>
      </w:r>
      <w:r w:rsidR="00D81FE0" w:rsidRPr="00D81FE0">
        <w:rPr>
          <w:lang w:bidi="ar-SA"/>
        </w:rPr>
        <w:t xml:space="preserve">Estimated number of additional </w:t>
      </w:r>
      <w:r w:rsidR="004C5502">
        <w:rPr>
          <w:lang w:bidi="ar-SA"/>
        </w:rPr>
        <w:t>detections</w:t>
      </w:r>
      <w:r w:rsidR="004C5502" w:rsidRPr="00D81FE0">
        <w:rPr>
          <w:lang w:bidi="ar-SA"/>
        </w:rPr>
        <w:t xml:space="preserve"> </w:t>
      </w:r>
      <w:r w:rsidR="00D81FE0" w:rsidRPr="00D81FE0">
        <w:rPr>
          <w:lang w:bidi="ar-SA"/>
        </w:rPr>
        <w:t xml:space="preserve">per year of </w:t>
      </w:r>
      <w:r w:rsidR="00D81FE0">
        <w:rPr>
          <w:lang w:bidi="ar-SA"/>
        </w:rPr>
        <w:t>P</w:t>
      </w:r>
      <w:r w:rsidR="00D81FE0" w:rsidRPr="00D81FE0">
        <w:rPr>
          <w:lang w:bidi="ar-SA"/>
        </w:rPr>
        <w:t>ST by state</w:t>
      </w:r>
    </w:p>
    <w:tbl>
      <w:tblPr>
        <w:tblStyle w:val="TableGrid"/>
        <w:tblW w:w="9580" w:type="dxa"/>
        <w:tblLayout w:type="fixed"/>
        <w:tblLook w:val="04A0" w:firstRow="1" w:lastRow="0" w:firstColumn="1" w:lastColumn="0" w:noHBand="0" w:noVBand="1"/>
      </w:tblPr>
      <w:tblGrid>
        <w:gridCol w:w="3118"/>
        <w:gridCol w:w="1077"/>
        <w:gridCol w:w="1077"/>
        <w:gridCol w:w="1077"/>
        <w:gridCol w:w="1077"/>
        <w:gridCol w:w="1077"/>
        <w:gridCol w:w="1077"/>
      </w:tblGrid>
      <w:tr w:rsidR="002C5DAB" w14:paraId="50892B1B" w14:textId="77777777" w:rsidTr="00645AF8">
        <w:tc>
          <w:tcPr>
            <w:tcW w:w="3118" w:type="dxa"/>
          </w:tcPr>
          <w:p w14:paraId="39FC7DE4" w14:textId="77777777" w:rsidR="007D5560" w:rsidRPr="007413C5" w:rsidRDefault="007D5560" w:rsidP="00E034B8">
            <w:pPr>
              <w:keepNext/>
              <w:keepLines/>
              <w:widowControl/>
            </w:pPr>
          </w:p>
        </w:tc>
        <w:tc>
          <w:tcPr>
            <w:tcW w:w="1077" w:type="dxa"/>
          </w:tcPr>
          <w:p w14:paraId="3865CCFD" w14:textId="77777777" w:rsidR="007D5560" w:rsidRDefault="007D5560">
            <w:pPr>
              <w:keepNext/>
              <w:keepLines/>
              <w:widowControl/>
              <w:jc w:val="right"/>
            </w:pPr>
            <w:r w:rsidRPr="007413C5">
              <w:t>NSW</w:t>
            </w:r>
          </w:p>
          <w:p w14:paraId="2676588A" w14:textId="5DC8824E" w:rsidR="007D5560" w:rsidRPr="007413C5" w:rsidRDefault="007D5560" w:rsidP="00E034B8">
            <w:pPr>
              <w:keepNext/>
              <w:keepLines/>
              <w:widowControl/>
              <w:jc w:val="right"/>
            </w:pPr>
            <w:r>
              <w:t>(</w:t>
            </w:r>
            <w:r w:rsidR="0068327D">
              <w:t>2012 to 2022</w:t>
            </w:r>
            <w:r>
              <w:t>)</w:t>
            </w:r>
          </w:p>
        </w:tc>
        <w:tc>
          <w:tcPr>
            <w:tcW w:w="1077" w:type="dxa"/>
          </w:tcPr>
          <w:p w14:paraId="252F6F44" w14:textId="703BD927" w:rsidR="007D5560" w:rsidRPr="007413C5" w:rsidRDefault="007D5560" w:rsidP="00E034B8">
            <w:pPr>
              <w:keepNext/>
              <w:keepLines/>
              <w:widowControl/>
              <w:jc w:val="right"/>
            </w:pPr>
            <w:r w:rsidRPr="007413C5">
              <w:t>SA</w:t>
            </w:r>
            <w:r w:rsidRPr="007413C5">
              <w:br/>
            </w:r>
            <w:r>
              <w:t>(</w:t>
            </w:r>
            <w:r w:rsidR="0068327D">
              <w:t>2012 to 2017</w:t>
            </w:r>
            <w:r>
              <w:t>)</w:t>
            </w:r>
          </w:p>
        </w:tc>
        <w:tc>
          <w:tcPr>
            <w:tcW w:w="1077" w:type="dxa"/>
          </w:tcPr>
          <w:p w14:paraId="4ED77147" w14:textId="77777777" w:rsidR="007D5560" w:rsidRDefault="007D5560">
            <w:pPr>
              <w:keepNext/>
              <w:keepLines/>
              <w:widowControl/>
              <w:jc w:val="right"/>
            </w:pPr>
            <w:r>
              <w:t>Tas</w:t>
            </w:r>
          </w:p>
          <w:p w14:paraId="10662E1F" w14:textId="43069FCF" w:rsidR="00F26B38" w:rsidRPr="007413C5" w:rsidRDefault="00F26B38">
            <w:pPr>
              <w:keepNext/>
              <w:keepLines/>
              <w:widowControl/>
              <w:jc w:val="right"/>
            </w:pPr>
            <w:r>
              <w:t>(</w:t>
            </w:r>
            <w:r w:rsidR="0068327D">
              <w:t>2012 to 2022</w:t>
            </w:r>
            <w:r>
              <w:t>)</w:t>
            </w:r>
          </w:p>
        </w:tc>
        <w:tc>
          <w:tcPr>
            <w:tcW w:w="1077" w:type="dxa"/>
          </w:tcPr>
          <w:p w14:paraId="72D6663E" w14:textId="57E53D1C" w:rsidR="007D5560" w:rsidRDefault="007D5560">
            <w:pPr>
              <w:keepNext/>
              <w:keepLines/>
              <w:widowControl/>
              <w:jc w:val="right"/>
            </w:pPr>
            <w:r w:rsidRPr="007413C5">
              <w:t>WA</w:t>
            </w:r>
          </w:p>
          <w:p w14:paraId="45EFBF63" w14:textId="702D9EBD" w:rsidR="00E717B9" w:rsidRPr="007413C5" w:rsidRDefault="00E717B9" w:rsidP="00E034B8">
            <w:pPr>
              <w:keepNext/>
              <w:keepLines/>
              <w:widowControl/>
              <w:jc w:val="right"/>
            </w:pPr>
            <w:r>
              <w:t>(</w:t>
            </w:r>
            <w:r w:rsidR="0068327D">
              <w:t>2012 to 2022</w:t>
            </w:r>
            <w:r>
              <w:t>)</w:t>
            </w:r>
          </w:p>
          <w:p w14:paraId="261D5CB3" w14:textId="77777777" w:rsidR="007D5560" w:rsidRPr="007413C5" w:rsidRDefault="007D5560" w:rsidP="00E034B8">
            <w:pPr>
              <w:keepNext/>
              <w:keepLines/>
              <w:widowControl/>
              <w:jc w:val="right"/>
            </w:pPr>
          </w:p>
        </w:tc>
        <w:tc>
          <w:tcPr>
            <w:tcW w:w="1077" w:type="dxa"/>
          </w:tcPr>
          <w:p w14:paraId="4F7A0263" w14:textId="77777777" w:rsidR="007D5560" w:rsidRPr="007413C5" w:rsidRDefault="007D5560" w:rsidP="00E034B8">
            <w:pPr>
              <w:keepNext/>
              <w:keepLines/>
              <w:widowControl/>
              <w:jc w:val="right"/>
            </w:pPr>
            <w:r w:rsidRPr="007413C5">
              <w:t>Vic</w:t>
            </w:r>
          </w:p>
          <w:p w14:paraId="16BA751F" w14:textId="212FB0FF" w:rsidR="007D5560" w:rsidRPr="007413C5" w:rsidRDefault="00E717B9" w:rsidP="00E034B8">
            <w:pPr>
              <w:keepNext/>
              <w:keepLines/>
              <w:widowControl/>
              <w:jc w:val="right"/>
            </w:pPr>
            <w:r>
              <w:t>(</w:t>
            </w:r>
            <w:r w:rsidR="0068327D">
              <w:t>201</w:t>
            </w:r>
            <w:r w:rsidR="00D71F91">
              <w:t>2 to 2017</w:t>
            </w:r>
            <w:r>
              <w:t>)</w:t>
            </w:r>
          </w:p>
        </w:tc>
        <w:tc>
          <w:tcPr>
            <w:tcW w:w="1077" w:type="dxa"/>
          </w:tcPr>
          <w:p w14:paraId="0A2BE1FC" w14:textId="4E51CA5D" w:rsidR="007D5560" w:rsidRPr="007413C5" w:rsidRDefault="007D5560" w:rsidP="00E034B8">
            <w:pPr>
              <w:keepNext/>
              <w:keepLines/>
              <w:widowControl/>
              <w:jc w:val="right"/>
            </w:pPr>
            <w:r w:rsidRPr="007413C5">
              <w:t>Total</w:t>
            </w:r>
          </w:p>
        </w:tc>
      </w:tr>
      <w:tr w:rsidR="002C5DAB" w14:paraId="5520BA41" w14:textId="77777777" w:rsidTr="00645AF8">
        <w:tc>
          <w:tcPr>
            <w:tcW w:w="3118" w:type="dxa"/>
          </w:tcPr>
          <w:p w14:paraId="39478B3E" w14:textId="3DA5F5B0" w:rsidR="001E5743" w:rsidRPr="00E034B8" w:rsidRDefault="00085C79" w:rsidP="001E5743">
            <w:pPr>
              <w:keepNext/>
              <w:keepLines/>
              <w:widowControl/>
            </w:pPr>
            <w:r>
              <w:t>Total number of s</w:t>
            </w:r>
            <w:r w:rsidR="001E5743" w:rsidRPr="00D111DD">
              <w:t>amples tested</w:t>
            </w:r>
            <w:r>
              <w:t xml:space="preserve"> over time period</w:t>
            </w:r>
          </w:p>
        </w:tc>
        <w:tc>
          <w:tcPr>
            <w:tcW w:w="1077" w:type="dxa"/>
            <w:vAlign w:val="center"/>
          </w:tcPr>
          <w:p w14:paraId="08B59A99" w14:textId="22CF2C9E" w:rsidR="001E5743" w:rsidRPr="00E034B8" w:rsidRDefault="001E5743" w:rsidP="001E5743">
            <w:pPr>
              <w:keepNext/>
              <w:keepLines/>
              <w:widowControl/>
              <w:jc w:val="right"/>
            </w:pPr>
            <w:r w:rsidRPr="005B2354">
              <w:t xml:space="preserve">5,004 </w:t>
            </w:r>
          </w:p>
        </w:tc>
        <w:tc>
          <w:tcPr>
            <w:tcW w:w="1077" w:type="dxa"/>
            <w:vAlign w:val="center"/>
          </w:tcPr>
          <w:p w14:paraId="39F8A797" w14:textId="00EF6E69" w:rsidR="001E5743" w:rsidRPr="00E034B8" w:rsidRDefault="001E5743" w:rsidP="001E5743">
            <w:pPr>
              <w:keepNext/>
              <w:keepLines/>
              <w:widowControl/>
              <w:jc w:val="right"/>
            </w:pPr>
            <w:r w:rsidRPr="005B2354">
              <w:t xml:space="preserve">292 </w:t>
            </w:r>
          </w:p>
        </w:tc>
        <w:tc>
          <w:tcPr>
            <w:tcW w:w="1077" w:type="dxa"/>
            <w:vAlign w:val="center"/>
          </w:tcPr>
          <w:p w14:paraId="2B2C6533" w14:textId="7C6B70C8" w:rsidR="001E5743" w:rsidRPr="007D5560" w:rsidRDefault="001E5743" w:rsidP="001E5743">
            <w:pPr>
              <w:keepNext/>
              <w:keepLines/>
              <w:widowControl/>
              <w:jc w:val="right"/>
            </w:pPr>
            <w:r w:rsidRPr="005B2354">
              <w:t xml:space="preserve">10,242 </w:t>
            </w:r>
          </w:p>
        </w:tc>
        <w:tc>
          <w:tcPr>
            <w:tcW w:w="1077" w:type="dxa"/>
            <w:vAlign w:val="center"/>
          </w:tcPr>
          <w:p w14:paraId="69206CB1" w14:textId="40D2A32A" w:rsidR="001E5743" w:rsidRPr="00E034B8" w:rsidRDefault="001E5743" w:rsidP="001E5743">
            <w:pPr>
              <w:keepNext/>
              <w:keepLines/>
              <w:widowControl/>
              <w:jc w:val="right"/>
            </w:pPr>
            <w:r w:rsidRPr="005B2354">
              <w:t xml:space="preserve">378 </w:t>
            </w:r>
          </w:p>
        </w:tc>
        <w:tc>
          <w:tcPr>
            <w:tcW w:w="1077" w:type="dxa"/>
            <w:vAlign w:val="center"/>
          </w:tcPr>
          <w:p w14:paraId="1BF6AA74" w14:textId="6BCA6709" w:rsidR="001E5743" w:rsidRPr="00E034B8" w:rsidRDefault="001E5743" w:rsidP="001E5743">
            <w:pPr>
              <w:keepNext/>
              <w:keepLines/>
              <w:widowControl/>
              <w:jc w:val="right"/>
            </w:pPr>
            <w:r w:rsidRPr="005B2354">
              <w:t xml:space="preserve">257 </w:t>
            </w:r>
          </w:p>
        </w:tc>
        <w:tc>
          <w:tcPr>
            <w:tcW w:w="1077" w:type="dxa"/>
            <w:vAlign w:val="center"/>
          </w:tcPr>
          <w:p w14:paraId="60F5EA0C" w14:textId="4EDFA9DF" w:rsidR="001E5743" w:rsidRPr="00E034B8" w:rsidRDefault="001E5743" w:rsidP="001E5743">
            <w:pPr>
              <w:keepNext/>
              <w:keepLines/>
              <w:widowControl/>
              <w:jc w:val="right"/>
            </w:pPr>
            <w:r w:rsidRPr="005B2354">
              <w:t xml:space="preserve">16,173 </w:t>
            </w:r>
          </w:p>
        </w:tc>
      </w:tr>
      <w:tr w:rsidR="002C5DAB" w14:paraId="2D4DE3C3" w14:textId="77777777" w:rsidTr="00645AF8">
        <w:tc>
          <w:tcPr>
            <w:tcW w:w="3118" w:type="dxa"/>
          </w:tcPr>
          <w:p w14:paraId="5B18BBCB" w14:textId="0FF225C5" w:rsidR="001E5743" w:rsidRPr="00E034B8" w:rsidRDefault="001E5743" w:rsidP="001E5743">
            <w:pPr>
              <w:keepNext/>
              <w:keepLines/>
              <w:widowControl/>
            </w:pPr>
            <w:r w:rsidRPr="00D111DD">
              <w:t>Total number of samples exceeding existing limit</w:t>
            </w:r>
          </w:p>
        </w:tc>
        <w:tc>
          <w:tcPr>
            <w:tcW w:w="1077" w:type="dxa"/>
            <w:vAlign w:val="center"/>
          </w:tcPr>
          <w:p w14:paraId="5EE940A6" w14:textId="7584B589" w:rsidR="001E5743" w:rsidRPr="00E034B8" w:rsidRDefault="001E5743" w:rsidP="001E5743">
            <w:pPr>
              <w:keepNext/>
              <w:keepLines/>
              <w:widowControl/>
              <w:jc w:val="right"/>
            </w:pPr>
            <w:r w:rsidRPr="005B2354">
              <w:t xml:space="preserve">19 </w:t>
            </w:r>
          </w:p>
        </w:tc>
        <w:tc>
          <w:tcPr>
            <w:tcW w:w="1077" w:type="dxa"/>
            <w:vAlign w:val="center"/>
          </w:tcPr>
          <w:p w14:paraId="3561FB58" w14:textId="7F354DB0" w:rsidR="001E5743" w:rsidRPr="00E034B8" w:rsidRDefault="001E5743" w:rsidP="001E5743">
            <w:pPr>
              <w:keepNext/>
              <w:keepLines/>
              <w:widowControl/>
              <w:jc w:val="right"/>
            </w:pPr>
            <w:r w:rsidRPr="005B2354">
              <w:t xml:space="preserve">7 </w:t>
            </w:r>
          </w:p>
        </w:tc>
        <w:tc>
          <w:tcPr>
            <w:tcW w:w="1077" w:type="dxa"/>
            <w:vAlign w:val="center"/>
          </w:tcPr>
          <w:p w14:paraId="0AF42D0C" w14:textId="3AF26222" w:rsidR="001E5743" w:rsidRPr="007D5560" w:rsidRDefault="001E5743" w:rsidP="001E5743">
            <w:pPr>
              <w:keepNext/>
              <w:keepLines/>
              <w:widowControl/>
              <w:jc w:val="right"/>
            </w:pPr>
            <w:r w:rsidRPr="005B2354">
              <w:t xml:space="preserve">319 </w:t>
            </w:r>
          </w:p>
        </w:tc>
        <w:tc>
          <w:tcPr>
            <w:tcW w:w="1077" w:type="dxa"/>
            <w:vAlign w:val="center"/>
          </w:tcPr>
          <w:p w14:paraId="5470E32D" w14:textId="7FAB7C4D" w:rsidR="001E5743" w:rsidRPr="00E034B8" w:rsidRDefault="001E5743" w:rsidP="001E5743">
            <w:pPr>
              <w:keepNext/>
              <w:keepLines/>
              <w:widowControl/>
              <w:jc w:val="right"/>
            </w:pPr>
            <w:r w:rsidRPr="005B2354">
              <w:t xml:space="preserve">1 </w:t>
            </w:r>
          </w:p>
        </w:tc>
        <w:tc>
          <w:tcPr>
            <w:tcW w:w="1077" w:type="dxa"/>
            <w:vAlign w:val="center"/>
          </w:tcPr>
          <w:p w14:paraId="09C80992" w14:textId="70CCA0E3" w:rsidR="001E5743" w:rsidRPr="00E034B8" w:rsidRDefault="001E5743" w:rsidP="001E5743">
            <w:pPr>
              <w:keepNext/>
              <w:keepLines/>
              <w:widowControl/>
              <w:jc w:val="right"/>
            </w:pPr>
            <w:r w:rsidRPr="005B2354">
              <w:t xml:space="preserve">8 </w:t>
            </w:r>
          </w:p>
        </w:tc>
        <w:tc>
          <w:tcPr>
            <w:tcW w:w="1077" w:type="dxa"/>
            <w:vAlign w:val="center"/>
          </w:tcPr>
          <w:p w14:paraId="5A23DFCF" w14:textId="4A8DB2A0" w:rsidR="001E5743" w:rsidRPr="00E034B8" w:rsidRDefault="001E5743" w:rsidP="001E5743">
            <w:pPr>
              <w:keepNext/>
              <w:keepLines/>
              <w:widowControl/>
              <w:jc w:val="right"/>
            </w:pPr>
            <w:r w:rsidRPr="005B2354">
              <w:t xml:space="preserve"> 354 </w:t>
            </w:r>
          </w:p>
        </w:tc>
      </w:tr>
      <w:tr w:rsidR="002C5DAB" w14:paraId="1D95373D" w14:textId="77777777" w:rsidTr="00645AF8">
        <w:tc>
          <w:tcPr>
            <w:tcW w:w="3118" w:type="dxa"/>
          </w:tcPr>
          <w:p w14:paraId="4431E43F" w14:textId="579F9E81" w:rsidR="001E5743" w:rsidRPr="00E034B8" w:rsidRDefault="001E5743" w:rsidP="001E5743">
            <w:pPr>
              <w:keepNext/>
              <w:keepLines/>
              <w:widowControl/>
            </w:pPr>
            <w:r w:rsidRPr="00D111DD">
              <w:t>Samples exceeding existing limit (%)</w:t>
            </w:r>
          </w:p>
        </w:tc>
        <w:tc>
          <w:tcPr>
            <w:tcW w:w="1077" w:type="dxa"/>
            <w:vAlign w:val="center"/>
          </w:tcPr>
          <w:p w14:paraId="490E25EB" w14:textId="75451BAC" w:rsidR="001E5743" w:rsidRPr="00E034B8" w:rsidRDefault="001E5743" w:rsidP="001E5743">
            <w:pPr>
              <w:keepNext/>
              <w:keepLines/>
              <w:widowControl/>
              <w:jc w:val="right"/>
            </w:pPr>
            <w:r w:rsidRPr="005B2354">
              <w:t>0.</w:t>
            </w:r>
            <w:r w:rsidR="00EF0C68">
              <w:t>38</w:t>
            </w:r>
            <w:r w:rsidRPr="005B2354">
              <w:t>%</w:t>
            </w:r>
          </w:p>
        </w:tc>
        <w:tc>
          <w:tcPr>
            <w:tcW w:w="1077" w:type="dxa"/>
            <w:vAlign w:val="center"/>
          </w:tcPr>
          <w:p w14:paraId="3ED18AD4" w14:textId="60E011CD" w:rsidR="001E5743" w:rsidRPr="00E034B8" w:rsidRDefault="001E5743" w:rsidP="001E5743">
            <w:pPr>
              <w:keepNext/>
              <w:keepLines/>
              <w:widowControl/>
              <w:jc w:val="right"/>
            </w:pPr>
            <w:r w:rsidRPr="005B2354">
              <w:t>2.40%</w:t>
            </w:r>
          </w:p>
        </w:tc>
        <w:tc>
          <w:tcPr>
            <w:tcW w:w="1077" w:type="dxa"/>
            <w:vAlign w:val="center"/>
          </w:tcPr>
          <w:p w14:paraId="07C7B46C" w14:textId="76C6D333" w:rsidR="001E5743" w:rsidRPr="007D5560" w:rsidRDefault="00BF1458" w:rsidP="001E5743">
            <w:pPr>
              <w:keepNext/>
              <w:keepLines/>
              <w:widowControl/>
              <w:jc w:val="right"/>
            </w:pPr>
            <w:r>
              <w:t>3.</w:t>
            </w:r>
            <w:r w:rsidR="00FC788A">
              <w:t>11</w:t>
            </w:r>
            <w:r w:rsidR="001E5743" w:rsidRPr="005B2354">
              <w:t>%</w:t>
            </w:r>
          </w:p>
        </w:tc>
        <w:tc>
          <w:tcPr>
            <w:tcW w:w="1077" w:type="dxa"/>
            <w:vAlign w:val="center"/>
          </w:tcPr>
          <w:p w14:paraId="136138B4" w14:textId="44A13C72" w:rsidR="001E5743" w:rsidRPr="00E034B8" w:rsidRDefault="001E5743" w:rsidP="001E5743">
            <w:pPr>
              <w:keepNext/>
              <w:keepLines/>
              <w:widowControl/>
              <w:jc w:val="right"/>
            </w:pPr>
            <w:r w:rsidRPr="005B2354">
              <w:t>0.</w:t>
            </w:r>
            <w:r w:rsidR="00645AF8">
              <w:t>26</w:t>
            </w:r>
            <w:r w:rsidRPr="005B2354">
              <w:t>%</w:t>
            </w:r>
          </w:p>
        </w:tc>
        <w:tc>
          <w:tcPr>
            <w:tcW w:w="1077" w:type="dxa"/>
            <w:vAlign w:val="center"/>
          </w:tcPr>
          <w:p w14:paraId="13C8FDFA" w14:textId="6AB55500" w:rsidR="001E5743" w:rsidRPr="00E034B8" w:rsidRDefault="001E5743" w:rsidP="001E5743">
            <w:pPr>
              <w:keepNext/>
              <w:keepLines/>
              <w:widowControl/>
              <w:jc w:val="right"/>
            </w:pPr>
            <w:r w:rsidRPr="005B2354">
              <w:t>3.11%</w:t>
            </w:r>
          </w:p>
        </w:tc>
        <w:tc>
          <w:tcPr>
            <w:tcW w:w="1077" w:type="dxa"/>
            <w:vAlign w:val="center"/>
          </w:tcPr>
          <w:p w14:paraId="20C41638" w14:textId="498AC2B5" w:rsidR="001E5743" w:rsidRPr="00E034B8" w:rsidRDefault="001E5743" w:rsidP="001E5743">
            <w:pPr>
              <w:keepNext/>
              <w:keepLines/>
              <w:widowControl/>
              <w:jc w:val="right"/>
            </w:pPr>
            <w:r w:rsidRPr="005B2354">
              <w:t>4.20%</w:t>
            </w:r>
          </w:p>
        </w:tc>
      </w:tr>
      <w:tr w:rsidR="002C5DAB" w14:paraId="1BAEE9C7" w14:textId="77777777" w:rsidTr="00645AF8">
        <w:tc>
          <w:tcPr>
            <w:tcW w:w="3118" w:type="dxa"/>
          </w:tcPr>
          <w:p w14:paraId="63963F08" w14:textId="41947B59" w:rsidR="001E5743" w:rsidRPr="00E034B8" w:rsidRDefault="001E5743" w:rsidP="001E5743">
            <w:pPr>
              <w:keepNext/>
              <w:keepLines/>
              <w:widowControl/>
            </w:pPr>
            <w:r w:rsidRPr="00D111DD">
              <w:t>Total number of samples exceeding proposed limit</w:t>
            </w:r>
          </w:p>
        </w:tc>
        <w:tc>
          <w:tcPr>
            <w:tcW w:w="1077" w:type="dxa"/>
            <w:vAlign w:val="center"/>
          </w:tcPr>
          <w:p w14:paraId="15FCF392" w14:textId="7898B10F" w:rsidR="001E5743" w:rsidRPr="00E034B8" w:rsidRDefault="001E5743" w:rsidP="001E5743">
            <w:pPr>
              <w:keepNext/>
              <w:keepLines/>
              <w:widowControl/>
              <w:jc w:val="right"/>
            </w:pPr>
            <w:r w:rsidRPr="005B2354">
              <w:t xml:space="preserve">25 </w:t>
            </w:r>
          </w:p>
        </w:tc>
        <w:tc>
          <w:tcPr>
            <w:tcW w:w="1077" w:type="dxa"/>
            <w:vAlign w:val="center"/>
          </w:tcPr>
          <w:p w14:paraId="2418DD77" w14:textId="14CD8FE0" w:rsidR="001E5743" w:rsidRPr="00E034B8" w:rsidRDefault="001E5743" w:rsidP="001E5743">
            <w:pPr>
              <w:keepNext/>
              <w:keepLines/>
              <w:widowControl/>
              <w:jc w:val="right"/>
            </w:pPr>
            <w:r w:rsidRPr="005B2354">
              <w:t xml:space="preserve">7 </w:t>
            </w:r>
          </w:p>
        </w:tc>
        <w:tc>
          <w:tcPr>
            <w:tcW w:w="1077" w:type="dxa"/>
            <w:vAlign w:val="center"/>
          </w:tcPr>
          <w:p w14:paraId="04B50DEA" w14:textId="2D154EEE" w:rsidR="001E5743" w:rsidRPr="007D5560" w:rsidRDefault="001E5743" w:rsidP="001E5743">
            <w:pPr>
              <w:keepNext/>
              <w:keepLines/>
              <w:widowControl/>
              <w:jc w:val="right"/>
            </w:pPr>
            <w:r w:rsidRPr="005B2354">
              <w:t xml:space="preserve">420 </w:t>
            </w:r>
          </w:p>
        </w:tc>
        <w:tc>
          <w:tcPr>
            <w:tcW w:w="1077" w:type="dxa"/>
            <w:vAlign w:val="center"/>
          </w:tcPr>
          <w:p w14:paraId="160C1CAD" w14:textId="2581D009" w:rsidR="001E5743" w:rsidRPr="00E034B8" w:rsidRDefault="001E5743" w:rsidP="001E5743">
            <w:pPr>
              <w:keepNext/>
              <w:keepLines/>
              <w:widowControl/>
              <w:jc w:val="right"/>
            </w:pPr>
            <w:r w:rsidRPr="005B2354">
              <w:t xml:space="preserve">1 </w:t>
            </w:r>
          </w:p>
        </w:tc>
        <w:tc>
          <w:tcPr>
            <w:tcW w:w="1077" w:type="dxa"/>
            <w:vAlign w:val="center"/>
          </w:tcPr>
          <w:p w14:paraId="69B4CA73" w14:textId="0016BF5E" w:rsidR="001E5743" w:rsidRPr="00E034B8" w:rsidRDefault="001E5743" w:rsidP="001E5743">
            <w:pPr>
              <w:keepNext/>
              <w:keepLines/>
              <w:widowControl/>
              <w:jc w:val="right"/>
            </w:pPr>
            <w:r w:rsidRPr="005B2354">
              <w:t xml:space="preserve">8 </w:t>
            </w:r>
          </w:p>
        </w:tc>
        <w:tc>
          <w:tcPr>
            <w:tcW w:w="1077" w:type="dxa"/>
            <w:vAlign w:val="center"/>
          </w:tcPr>
          <w:p w14:paraId="57C7810E" w14:textId="03B82150" w:rsidR="001E5743" w:rsidRPr="00E034B8" w:rsidRDefault="001E5743" w:rsidP="001E5743">
            <w:pPr>
              <w:keepNext/>
              <w:keepLines/>
              <w:widowControl/>
              <w:jc w:val="right"/>
            </w:pPr>
            <w:r w:rsidRPr="005B2354">
              <w:t xml:space="preserve">461 </w:t>
            </w:r>
          </w:p>
        </w:tc>
      </w:tr>
      <w:tr w:rsidR="002C5DAB" w14:paraId="20A0FF9F" w14:textId="77777777" w:rsidTr="00645AF8">
        <w:tc>
          <w:tcPr>
            <w:tcW w:w="3118" w:type="dxa"/>
          </w:tcPr>
          <w:p w14:paraId="204B3C28" w14:textId="3936FFDB" w:rsidR="001E5743" w:rsidRPr="00E034B8" w:rsidRDefault="001E5743" w:rsidP="001E5743">
            <w:pPr>
              <w:keepNext/>
              <w:keepLines/>
              <w:widowControl/>
            </w:pPr>
            <w:r w:rsidRPr="00D111DD">
              <w:t>Samples exceeding proposed limit (%)</w:t>
            </w:r>
          </w:p>
        </w:tc>
        <w:tc>
          <w:tcPr>
            <w:tcW w:w="1077" w:type="dxa"/>
            <w:vAlign w:val="center"/>
          </w:tcPr>
          <w:p w14:paraId="014F7B3D" w14:textId="49E2BB53" w:rsidR="001E5743" w:rsidRPr="00E034B8" w:rsidRDefault="001E5743" w:rsidP="001E5743">
            <w:pPr>
              <w:keepNext/>
              <w:keepLines/>
              <w:widowControl/>
              <w:jc w:val="right"/>
            </w:pPr>
            <w:r w:rsidRPr="005B2354">
              <w:t>0.</w:t>
            </w:r>
            <w:r w:rsidR="00D71F91">
              <w:t>50</w:t>
            </w:r>
            <w:r w:rsidRPr="005B2354">
              <w:t>%</w:t>
            </w:r>
          </w:p>
        </w:tc>
        <w:tc>
          <w:tcPr>
            <w:tcW w:w="1077" w:type="dxa"/>
            <w:vAlign w:val="center"/>
          </w:tcPr>
          <w:p w14:paraId="6137892F" w14:textId="71E36668" w:rsidR="001E5743" w:rsidRPr="00E034B8" w:rsidRDefault="001E5743" w:rsidP="001E5743">
            <w:pPr>
              <w:keepNext/>
              <w:keepLines/>
              <w:widowControl/>
              <w:jc w:val="right"/>
            </w:pPr>
            <w:r w:rsidRPr="005B2354">
              <w:t>2.40%</w:t>
            </w:r>
          </w:p>
        </w:tc>
        <w:tc>
          <w:tcPr>
            <w:tcW w:w="1077" w:type="dxa"/>
            <w:vAlign w:val="center"/>
          </w:tcPr>
          <w:p w14:paraId="46684F0A" w14:textId="1A394EAB" w:rsidR="001E5743" w:rsidRPr="007D5560" w:rsidRDefault="00D71F91" w:rsidP="001E5743">
            <w:pPr>
              <w:keepNext/>
              <w:keepLines/>
              <w:widowControl/>
              <w:jc w:val="right"/>
            </w:pPr>
            <w:r>
              <w:t>4.10</w:t>
            </w:r>
            <w:r w:rsidR="001E5743" w:rsidRPr="005B2354">
              <w:t>%</w:t>
            </w:r>
          </w:p>
        </w:tc>
        <w:tc>
          <w:tcPr>
            <w:tcW w:w="1077" w:type="dxa"/>
            <w:vAlign w:val="center"/>
          </w:tcPr>
          <w:p w14:paraId="70CAB599" w14:textId="238BAC85" w:rsidR="001E5743" w:rsidRPr="00E034B8" w:rsidRDefault="00733EA9" w:rsidP="001E5743">
            <w:pPr>
              <w:keepNext/>
              <w:keepLines/>
              <w:widowControl/>
              <w:jc w:val="right"/>
            </w:pPr>
            <w:r>
              <w:t>0.26</w:t>
            </w:r>
            <w:r w:rsidR="001E5743" w:rsidRPr="005B2354">
              <w:t>%</w:t>
            </w:r>
          </w:p>
        </w:tc>
        <w:tc>
          <w:tcPr>
            <w:tcW w:w="1077" w:type="dxa"/>
            <w:vAlign w:val="center"/>
          </w:tcPr>
          <w:p w14:paraId="2BA5A7E4" w14:textId="5AFD59DB" w:rsidR="001E5743" w:rsidRPr="00E034B8" w:rsidRDefault="001E5743" w:rsidP="001E5743">
            <w:pPr>
              <w:keepNext/>
              <w:keepLines/>
              <w:widowControl/>
              <w:jc w:val="right"/>
            </w:pPr>
            <w:r w:rsidRPr="005B2354">
              <w:t>3.11%</w:t>
            </w:r>
          </w:p>
        </w:tc>
        <w:tc>
          <w:tcPr>
            <w:tcW w:w="1077" w:type="dxa"/>
            <w:vAlign w:val="center"/>
          </w:tcPr>
          <w:p w14:paraId="0D26B2AB" w14:textId="40663F36" w:rsidR="001E5743" w:rsidRPr="00E034B8" w:rsidRDefault="00733EA9" w:rsidP="001E5743">
            <w:pPr>
              <w:keepNext/>
              <w:keepLines/>
              <w:widowControl/>
              <w:jc w:val="right"/>
            </w:pPr>
            <w:r>
              <w:t>2.85</w:t>
            </w:r>
            <w:r w:rsidR="001E5743" w:rsidRPr="005B2354">
              <w:t>%</w:t>
            </w:r>
          </w:p>
        </w:tc>
      </w:tr>
      <w:tr w:rsidR="002C5DAB" w14:paraId="0C409631" w14:textId="77777777" w:rsidTr="00645AF8">
        <w:tc>
          <w:tcPr>
            <w:tcW w:w="3118" w:type="dxa"/>
          </w:tcPr>
          <w:p w14:paraId="5B7B44C3" w14:textId="3B52203A" w:rsidR="001E5743" w:rsidRPr="0023380B" w:rsidRDefault="001E5743" w:rsidP="001E5743">
            <w:pPr>
              <w:keepNext/>
              <w:keepLines/>
              <w:widowControl/>
              <w:rPr>
                <w:b/>
                <w:bCs/>
              </w:rPr>
            </w:pPr>
            <w:r w:rsidRPr="0023380B">
              <w:rPr>
                <w:b/>
                <w:bCs/>
              </w:rPr>
              <w:t xml:space="preserve">Number of additional </w:t>
            </w:r>
            <w:r w:rsidR="005729A9">
              <w:rPr>
                <w:b/>
                <w:bCs/>
              </w:rPr>
              <w:t>detections</w:t>
            </w:r>
            <w:r w:rsidR="005729A9" w:rsidRPr="0023380B">
              <w:rPr>
                <w:b/>
                <w:bCs/>
              </w:rPr>
              <w:t xml:space="preserve"> </w:t>
            </w:r>
            <w:r w:rsidRPr="0023380B">
              <w:rPr>
                <w:b/>
                <w:bCs/>
              </w:rPr>
              <w:t>per year</w:t>
            </w:r>
          </w:p>
        </w:tc>
        <w:tc>
          <w:tcPr>
            <w:tcW w:w="1077" w:type="dxa"/>
            <w:vAlign w:val="center"/>
          </w:tcPr>
          <w:p w14:paraId="2309CA0D" w14:textId="1D456F4B" w:rsidR="001E5743" w:rsidRPr="0023380B" w:rsidRDefault="001E5743" w:rsidP="001E5743">
            <w:pPr>
              <w:keepNext/>
              <w:keepLines/>
              <w:widowControl/>
              <w:jc w:val="right"/>
              <w:rPr>
                <w:b/>
                <w:bCs/>
              </w:rPr>
            </w:pPr>
            <w:r w:rsidRPr="0023380B">
              <w:rPr>
                <w:b/>
                <w:bCs/>
              </w:rPr>
              <w:t>+0.5</w:t>
            </w:r>
          </w:p>
        </w:tc>
        <w:tc>
          <w:tcPr>
            <w:tcW w:w="1077" w:type="dxa"/>
            <w:vAlign w:val="center"/>
          </w:tcPr>
          <w:p w14:paraId="49992D10" w14:textId="2DB6934E" w:rsidR="001E5743" w:rsidRPr="0023380B" w:rsidRDefault="001E5743" w:rsidP="001E5743">
            <w:pPr>
              <w:keepNext/>
              <w:keepLines/>
              <w:widowControl/>
              <w:jc w:val="right"/>
              <w:rPr>
                <w:b/>
                <w:bCs/>
              </w:rPr>
            </w:pPr>
            <w:r w:rsidRPr="0023380B">
              <w:rPr>
                <w:b/>
                <w:bCs/>
              </w:rPr>
              <w:t>-</w:t>
            </w:r>
          </w:p>
        </w:tc>
        <w:tc>
          <w:tcPr>
            <w:tcW w:w="1077" w:type="dxa"/>
            <w:vAlign w:val="center"/>
          </w:tcPr>
          <w:p w14:paraId="54291981" w14:textId="2E0C2441" w:rsidR="001E5743" w:rsidRPr="0023380B" w:rsidRDefault="001E5743" w:rsidP="001E5743">
            <w:pPr>
              <w:keepNext/>
              <w:keepLines/>
              <w:widowControl/>
              <w:jc w:val="right"/>
              <w:rPr>
                <w:b/>
                <w:bCs/>
              </w:rPr>
            </w:pPr>
            <w:r w:rsidRPr="0023380B">
              <w:rPr>
                <w:b/>
                <w:bCs/>
              </w:rPr>
              <w:t>+9.2</w:t>
            </w:r>
          </w:p>
        </w:tc>
        <w:tc>
          <w:tcPr>
            <w:tcW w:w="1077" w:type="dxa"/>
            <w:vAlign w:val="center"/>
          </w:tcPr>
          <w:p w14:paraId="266A2620" w14:textId="70D07A3F" w:rsidR="001E5743" w:rsidRPr="0023380B" w:rsidRDefault="001E5743" w:rsidP="001E5743">
            <w:pPr>
              <w:keepNext/>
              <w:keepLines/>
              <w:widowControl/>
              <w:jc w:val="right"/>
              <w:rPr>
                <w:b/>
                <w:bCs/>
              </w:rPr>
            </w:pPr>
            <w:r w:rsidRPr="0023380B">
              <w:rPr>
                <w:b/>
                <w:bCs/>
              </w:rPr>
              <w:t>-</w:t>
            </w:r>
          </w:p>
        </w:tc>
        <w:tc>
          <w:tcPr>
            <w:tcW w:w="1077" w:type="dxa"/>
            <w:vAlign w:val="center"/>
          </w:tcPr>
          <w:p w14:paraId="5145605B" w14:textId="46864BBB" w:rsidR="001E5743" w:rsidRPr="0023380B" w:rsidRDefault="001E5743" w:rsidP="001E5743">
            <w:pPr>
              <w:keepNext/>
              <w:keepLines/>
              <w:widowControl/>
              <w:jc w:val="right"/>
              <w:rPr>
                <w:b/>
                <w:bCs/>
              </w:rPr>
            </w:pPr>
            <w:r w:rsidRPr="0023380B">
              <w:rPr>
                <w:b/>
                <w:bCs/>
              </w:rPr>
              <w:t>-</w:t>
            </w:r>
          </w:p>
        </w:tc>
        <w:tc>
          <w:tcPr>
            <w:tcW w:w="1077" w:type="dxa"/>
            <w:vAlign w:val="center"/>
          </w:tcPr>
          <w:p w14:paraId="6D8E6EE1" w14:textId="78032F17" w:rsidR="001E5743" w:rsidRPr="0023380B" w:rsidRDefault="001E5743" w:rsidP="001E5743">
            <w:pPr>
              <w:keepNext/>
              <w:keepLines/>
              <w:widowControl/>
              <w:jc w:val="right"/>
              <w:rPr>
                <w:b/>
                <w:bCs/>
              </w:rPr>
            </w:pPr>
            <w:r w:rsidRPr="0023380B">
              <w:rPr>
                <w:b/>
                <w:bCs/>
              </w:rPr>
              <w:t>+9.7</w:t>
            </w:r>
          </w:p>
        </w:tc>
      </w:tr>
    </w:tbl>
    <w:p w14:paraId="24CE915F" w14:textId="689AF117" w:rsidR="008A1405" w:rsidRPr="004737B2" w:rsidRDefault="008A1405" w:rsidP="00E034B8">
      <w:pPr>
        <w:keepNext/>
        <w:keepLines/>
        <w:widowControl/>
        <w:rPr>
          <w:i/>
          <w:iCs/>
          <w:lang w:bidi="ar-SA"/>
        </w:rPr>
      </w:pPr>
      <w:r w:rsidRPr="004737B2">
        <w:rPr>
          <w:i/>
          <w:iCs/>
          <w:lang w:bidi="ar-SA"/>
        </w:rPr>
        <w:t xml:space="preserve">Note: </w:t>
      </w:r>
      <w:r w:rsidR="002F4987" w:rsidRPr="004737B2">
        <w:rPr>
          <w:i/>
          <w:iCs/>
          <w:lang w:bidi="ar-SA"/>
        </w:rPr>
        <w:t>data from QLD, NT, and ACT excluded</w:t>
      </w:r>
      <w:r w:rsidR="00B87B54">
        <w:rPr>
          <w:i/>
          <w:iCs/>
          <w:lang w:bidi="ar-SA"/>
        </w:rPr>
        <w:t xml:space="preserve"> from estimate</w:t>
      </w:r>
      <w:r w:rsidR="002F4987" w:rsidRPr="004737B2">
        <w:rPr>
          <w:i/>
          <w:iCs/>
          <w:lang w:bidi="ar-SA"/>
        </w:rPr>
        <w:t xml:space="preserve"> due to low number of samples</w:t>
      </w:r>
    </w:p>
    <w:p w14:paraId="23ABAC80" w14:textId="77777777" w:rsidR="008A1405" w:rsidRDefault="008A1405" w:rsidP="008A1405">
      <w:pPr>
        <w:rPr>
          <w:lang w:bidi="ar-SA"/>
        </w:rPr>
      </w:pPr>
    </w:p>
    <w:p w14:paraId="1BD277EB" w14:textId="77777777" w:rsidR="0065617D" w:rsidRDefault="0065617D" w:rsidP="0065617D">
      <w:r>
        <w:t xml:space="preserve">The number of additional closures has not been estimated. </w:t>
      </w:r>
    </w:p>
    <w:p w14:paraId="744F417E" w14:textId="77777777" w:rsidR="0065617D" w:rsidRDefault="0065617D" w:rsidP="0065617D">
      <w:pPr>
        <w:rPr>
          <w:lang w:bidi="ar-SA"/>
        </w:rPr>
      </w:pPr>
    </w:p>
    <w:p w14:paraId="4C8D78E3" w14:textId="58AB26C9" w:rsidR="002F4987" w:rsidRDefault="0065617D" w:rsidP="001A4DC6">
      <w:pPr>
        <w:rPr>
          <w:lang w:bidi="ar-SA"/>
        </w:rPr>
      </w:pPr>
      <w:r>
        <w:rPr>
          <w:lang w:bidi="ar-SA"/>
        </w:rPr>
        <w:t>As discussed above, t</w:t>
      </w:r>
      <w:r w:rsidRPr="006066C6">
        <w:rPr>
          <w:lang w:bidi="ar-SA"/>
        </w:rPr>
        <w:t>he ratio of closures to failed tests in not known.</w:t>
      </w:r>
      <w:r>
        <w:rPr>
          <w:lang w:bidi="ar-SA"/>
        </w:rPr>
        <w:t xml:space="preserve"> The number of additional closures </w:t>
      </w:r>
      <w:r w:rsidR="008B187F">
        <w:rPr>
          <w:lang w:bidi="ar-SA"/>
        </w:rPr>
        <w:t>would</w:t>
      </w:r>
      <w:r>
        <w:rPr>
          <w:lang w:bidi="ar-SA"/>
        </w:rPr>
        <w:t xml:space="preserve"> be less than the increase in detections.</w:t>
      </w:r>
      <w:r w:rsidRPr="006066C6">
        <w:rPr>
          <w:lang w:bidi="ar-SA"/>
        </w:rPr>
        <w:t xml:space="preserve"> Data is welcomed that may enable this relationship to be established.</w:t>
      </w:r>
    </w:p>
    <w:p w14:paraId="071BDEC9" w14:textId="77777777" w:rsidR="0065617D" w:rsidRDefault="0065617D" w:rsidP="001A4DC6">
      <w:pPr>
        <w:rPr>
          <w:lang w:bidi="ar-SA"/>
        </w:rPr>
      </w:pPr>
    </w:p>
    <w:p w14:paraId="7E77BFB2" w14:textId="2BB2647F" w:rsidR="00EF363C" w:rsidRDefault="001A4DC6" w:rsidP="00BB0DAD">
      <w:pPr>
        <w:pBdr>
          <w:top w:val="single" w:sz="4" w:space="1" w:color="auto"/>
          <w:left w:val="single" w:sz="4" w:space="4" w:color="auto"/>
          <w:bottom w:val="single" w:sz="4" w:space="1" w:color="auto"/>
          <w:right w:val="single" w:sz="4" w:space="4" w:color="auto"/>
        </w:pBdr>
        <w:rPr>
          <w:lang w:bidi="ar-SA"/>
        </w:rPr>
      </w:pPr>
      <w:r w:rsidRPr="00462914">
        <w:rPr>
          <w:lang w:bidi="ar-SA"/>
        </w:rPr>
        <w:t xml:space="preserve">Question </w:t>
      </w:r>
      <w:r>
        <w:rPr>
          <w:lang w:bidi="ar-SA"/>
        </w:rPr>
        <w:fldChar w:fldCharType="begin"/>
      </w:r>
      <w:r>
        <w:rPr>
          <w:lang w:bidi="ar-SA"/>
        </w:rPr>
        <w:instrText xml:space="preserve"> SEQ ques </w:instrText>
      </w:r>
      <w:r>
        <w:rPr>
          <w:lang w:bidi="ar-SA"/>
        </w:rPr>
        <w:fldChar w:fldCharType="separate"/>
      </w:r>
      <w:r w:rsidR="00B77F3A">
        <w:rPr>
          <w:noProof/>
          <w:lang w:bidi="ar-SA"/>
        </w:rPr>
        <w:t>4</w:t>
      </w:r>
      <w:r>
        <w:rPr>
          <w:lang w:bidi="ar-SA"/>
        </w:rPr>
        <w:fldChar w:fldCharType="end"/>
      </w:r>
      <w:r w:rsidRPr="00462914">
        <w:rPr>
          <w:lang w:bidi="ar-SA"/>
        </w:rPr>
        <w:t xml:space="preserve">: Do you agree with the estimated </w:t>
      </w:r>
      <w:r>
        <w:rPr>
          <w:lang w:bidi="ar-SA"/>
        </w:rPr>
        <w:t xml:space="preserve">number </w:t>
      </w:r>
      <w:r w:rsidR="00BA34DF">
        <w:rPr>
          <w:lang w:bidi="ar-SA"/>
        </w:rPr>
        <w:t>of additional detections</w:t>
      </w:r>
      <w:r w:rsidR="007930BF">
        <w:rPr>
          <w:lang w:bidi="ar-SA"/>
        </w:rPr>
        <w:t xml:space="preserve"> per year</w:t>
      </w:r>
      <w:r w:rsidRPr="00462914">
        <w:rPr>
          <w:lang w:bidi="ar-SA"/>
        </w:rPr>
        <w:t>? Do you have any additional data that could be used to improve the estimate</w:t>
      </w:r>
      <w:r w:rsidR="00373CAC">
        <w:rPr>
          <w:lang w:bidi="ar-SA"/>
        </w:rPr>
        <w:t xml:space="preserve"> or estimate the potential number of additional closures</w:t>
      </w:r>
      <w:r w:rsidRPr="00462914">
        <w:rPr>
          <w:lang w:bidi="ar-SA"/>
        </w:rPr>
        <w:t>?</w:t>
      </w:r>
    </w:p>
    <w:p w14:paraId="650A3E76" w14:textId="62C2DE1F" w:rsidR="00000898" w:rsidRPr="00B97F6E" w:rsidRDefault="00000898" w:rsidP="00000898">
      <w:pPr>
        <w:pStyle w:val="Heading4"/>
      </w:pPr>
      <w:r w:rsidRPr="00B97F6E">
        <w:t xml:space="preserve">Consequences of closures </w:t>
      </w:r>
    </w:p>
    <w:p w14:paraId="47A29117" w14:textId="0FB5FFC8" w:rsidR="00E82F57" w:rsidRDefault="00E56EC0" w:rsidP="001A4DC6">
      <w:pPr>
        <w:rPr>
          <w:lang w:bidi="ar-SA"/>
        </w:rPr>
      </w:pPr>
      <w:r w:rsidRPr="00E56EC0">
        <w:rPr>
          <w:lang w:bidi="ar-SA"/>
        </w:rPr>
        <w:t>Costs associated with growing area closures are dependent on the fishery</w:t>
      </w:r>
      <w:r>
        <w:rPr>
          <w:lang w:bidi="ar-SA"/>
        </w:rPr>
        <w:t>.</w:t>
      </w:r>
    </w:p>
    <w:p w14:paraId="23EEC5EC" w14:textId="77777777" w:rsidR="00A6174D" w:rsidRDefault="00A6174D" w:rsidP="001A4DC6">
      <w:pPr>
        <w:rPr>
          <w:lang w:bidi="ar-SA"/>
        </w:rPr>
      </w:pPr>
    </w:p>
    <w:p w14:paraId="1AD626DE" w14:textId="1F67D0A1" w:rsidR="00A6174D" w:rsidRDefault="00A6174D" w:rsidP="001A4DC6">
      <w:pPr>
        <w:rPr>
          <w:lang w:bidi="ar-SA"/>
        </w:rPr>
      </w:pPr>
      <w:r>
        <w:rPr>
          <w:lang w:bidi="ar-SA"/>
        </w:rPr>
        <w:t xml:space="preserve">For all shellfish species there </w:t>
      </w:r>
      <w:r w:rsidR="00D35537">
        <w:rPr>
          <w:lang w:bidi="ar-SA"/>
        </w:rPr>
        <w:t xml:space="preserve">would </w:t>
      </w:r>
      <w:r>
        <w:rPr>
          <w:lang w:bidi="ar-SA"/>
        </w:rPr>
        <w:t>be an opportunity cost</w:t>
      </w:r>
      <w:r w:rsidR="00AC1384">
        <w:rPr>
          <w:lang w:bidi="ar-SA"/>
        </w:rPr>
        <w:t xml:space="preserve"> as a result of the fishery being closed. </w:t>
      </w:r>
    </w:p>
    <w:p w14:paraId="04D54C65" w14:textId="77777777" w:rsidR="003C1C6E" w:rsidRDefault="003C1C6E" w:rsidP="001A4DC6">
      <w:pPr>
        <w:rPr>
          <w:lang w:bidi="ar-SA"/>
        </w:rPr>
      </w:pPr>
    </w:p>
    <w:p w14:paraId="23703BBD" w14:textId="6CBB6ADB" w:rsidR="00AC1384" w:rsidRDefault="00AC1384" w:rsidP="001A4DC6">
      <w:pPr>
        <w:rPr>
          <w:lang w:bidi="ar-SA"/>
        </w:rPr>
      </w:pPr>
      <w:r>
        <w:rPr>
          <w:lang w:bidi="ar-SA"/>
        </w:rPr>
        <w:t xml:space="preserve">For </w:t>
      </w:r>
      <w:r w:rsidR="003C1C6E">
        <w:rPr>
          <w:lang w:bidi="ar-SA"/>
        </w:rPr>
        <w:t>scallops</w:t>
      </w:r>
      <w:r>
        <w:rPr>
          <w:lang w:bidi="ar-SA"/>
        </w:rPr>
        <w:t xml:space="preserve">, pipis and </w:t>
      </w:r>
      <w:r w:rsidR="00595F8D">
        <w:rPr>
          <w:lang w:bidi="ar-SA"/>
        </w:rPr>
        <w:t>mussels</w:t>
      </w:r>
      <w:r>
        <w:rPr>
          <w:lang w:bidi="ar-SA"/>
        </w:rPr>
        <w:t xml:space="preserve"> there </w:t>
      </w:r>
      <w:r w:rsidR="00D35537">
        <w:rPr>
          <w:lang w:bidi="ar-SA"/>
        </w:rPr>
        <w:t xml:space="preserve">would </w:t>
      </w:r>
      <w:r>
        <w:rPr>
          <w:lang w:bidi="ar-SA"/>
        </w:rPr>
        <w:t xml:space="preserve">also be </w:t>
      </w:r>
      <w:r w:rsidR="0009227B">
        <w:rPr>
          <w:lang w:bidi="ar-SA"/>
        </w:rPr>
        <w:t>some</w:t>
      </w:r>
      <w:r w:rsidR="00763072">
        <w:rPr>
          <w:lang w:bidi="ar-SA"/>
        </w:rPr>
        <w:t xml:space="preserve"> cost</w:t>
      </w:r>
      <w:r w:rsidR="0009227B">
        <w:rPr>
          <w:lang w:bidi="ar-SA"/>
        </w:rPr>
        <w:t>s</w:t>
      </w:r>
      <w:r w:rsidR="00763072">
        <w:rPr>
          <w:lang w:bidi="ar-SA"/>
        </w:rPr>
        <w:t xml:space="preserve"> of lost stock. </w:t>
      </w:r>
    </w:p>
    <w:p w14:paraId="53B0F6AF" w14:textId="77777777" w:rsidR="00F475EE" w:rsidRDefault="00F475EE" w:rsidP="001A4DC6">
      <w:pPr>
        <w:rPr>
          <w:lang w:bidi="ar-SA"/>
        </w:rPr>
      </w:pPr>
    </w:p>
    <w:p w14:paraId="2E4797CC" w14:textId="28646E2F" w:rsidR="00F475EE" w:rsidRDefault="00F475EE" w:rsidP="001A4DC6">
      <w:pPr>
        <w:rPr>
          <w:lang w:bidi="ar-SA"/>
        </w:rPr>
      </w:pPr>
      <w:r>
        <w:rPr>
          <w:lang w:bidi="ar-SA"/>
        </w:rPr>
        <w:t xml:space="preserve">The cost </w:t>
      </w:r>
      <w:r w:rsidR="008F6049">
        <w:rPr>
          <w:lang w:bidi="ar-SA"/>
        </w:rPr>
        <w:t>impact</w:t>
      </w:r>
      <w:r w:rsidR="00E77109">
        <w:rPr>
          <w:lang w:bidi="ar-SA"/>
        </w:rPr>
        <w:t xml:space="preserve"> of the additional closures are not known. </w:t>
      </w:r>
      <w:r w:rsidR="00575C09">
        <w:rPr>
          <w:lang w:bidi="ar-SA"/>
        </w:rPr>
        <w:t xml:space="preserve">FSANZ welcomes data that may assist to quantify this impact. </w:t>
      </w:r>
    </w:p>
    <w:p w14:paraId="3C0AEE0B" w14:textId="1D2C0F97" w:rsidR="00B35FD9" w:rsidRDefault="00B35FD9" w:rsidP="001A4DC6">
      <w:pPr>
        <w:rPr>
          <w:lang w:bidi="ar-SA"/>
        </w:rPr>
      </w:pPr>
    </w:p>
    <w:p w14:paraId="6DFD1ACE" w14:textId="175A72E7" w:rsidR="001E6F77" w:rsidRDefault="00B35FD9" w:rsidP="001A4DC6">
      <w:pPr>
        <w:rPr>
          <w:lang w:bidi="ar-SA"/>
        </w:rPr>
      </w:pPr>
      <w:r>
        <w:rPr>
          <w:lang w:bidi="ar-SA"/>
        </w:rPr>
        <w:t xml:space="preserve">Large companies </w:t>
      </w:r>
      <w:r w:rsidR="00D35537">
        <w:rPr>
          <w:lang w:bidi="ar-SA"/>
        </w:rPr>
        <w:t xml:space="preserve">would be </w:t>
      </w:r>
      <w:r>
        <w:rPr>
          <w:lang w:bidi="ar-SA"/>
        </w:rPr>
        <w:t xml:space="preserve">able to </w:t>
      </w:r>
      <w:r w:rsidR="001E6F77">
        <w:rPr>
          <w:lang w:bidi="ar-SA"/>
        </w:rPr>
        <w:t>minimise</w:t>
      </w:r>
      <w:r>
        <w:rPr>
          <w:lang w:bidi="ar-SA"/>
        </w:rPr>
        <w:t xml:space="preserve"> the cost impact</w:t>
      </w:r>
      <w:r w:rsidR="001E6F77">
        <w:rPr>
          <w:lang w:bidi="ar-SA"/>
        </w:rPr>
        <w:t>.</w:t>
      </w:r>
      <w:r>
        <w:rPr>
          <w:lang w:bidi="ar-SA"/>
        </w:rPr>
        <w:t xml:space="preserve"> </w:t>
      </w:r>
      <w:r w:rsidR="001E6F77" w:rsidRPr="001E6F77">
        <w:rPr>
          <w:lang w:bidi="ar-SA"/>
        </w:rPr>
        <w:t xml:space="preserve">For these companies, a closure in one area </w:t>
      </w:r>
      <w:r w:rsidR="00D35537">
        <w:rPr>
          <w:lang w:bidi="ar-SA"/>
        </w:rPr>
        <w:t xml:space="preserve">would </w:t>
      </w:r>
      <w:r w:rsidR="001E6F77" w:rsidRPr="001E6F77">
        <w:rPr>
          <w:lang w:bidi="ar-SA"/>
        </w:rPr>
        <w:t xml:space="preserve">result in a shift in harvesting activity to another area that is not impacted by the closure. </w:t>
      </w:r>
    </w:p>
    <w:p w14:paraId="1216E816" w14:textId="77777777" w:rsidR="006C4907" w:rsidRDefault="006C4907" w:rsidP="001A4DC6">
      <w:pPr>
        <w:rPr>
          <w:lang w:bidi="ar-SA"/>
        </w:rPr>
      </w:pPr>
    </w:p>
    <w:p w14:paraId="6B446C02" w14:textId="03F6B9E6" w:rsidR="006C4907" w:rsidRDefault="006C4907" w:rsidP="006C4907">
      <w:pPr>
        <w:rPr>
          <w:lang w:bidi="ar-SA"/>
        </w:rPr>
      </w:pPr>
      <w:r>
        <w:rPr>
          <w:lang w:bidi="ar-SA"/>
        </w:rPr>
        <w:t xml:space="preserve">However, for wild fisheries such as pipis, there </w:t>
      </w:r>
      <w:r w:rsidR="00D35537">
        <w:rPr>
          <w:lang w:bidi="ar-SA"/>
        </w:rPr>
        <w:t xml:space="preserve">would </w:t>
      </w:r>
      <w:r>
        <w:rPr>
          <w:lang w:bidi="ar-SA"/>
        </w:rPr>
        <w:t xml:space="preserve">be limited options for moving to alternative areas. There is only one pipi harvest ground in SA, although this is a large harvest area and on occasion this area may be sub-divided to allow harvest to continue in one part of the area whilst another section is closed. In NSW there are several fishing grounds that effort might be reallocated to. </w:t>
      </w:r>
    </w:p>
    <w:p w14:paraId="6B4A6A75" w14:textId="77777777" w:rsidR="006C4907" w:rsidRDefault="006C4907" w:rsidP="006C4907">
      <w:pPr>
        <w:rPr>
          <w:lang w:bidi="ar-SA"/>
        </w:rPr>
      </w:pPr>
    </w:p>
    <w:p w14:paraId="55AD062D" w14:textId="34B81BC7" w:rsidR="006C4907" w:rsidRDefault="006C4907" w:rsidP="006C4907">
      <w:pPr>
        <w:rPr>
          <w:lang w:bidi="ar-SA"/>
        </w:rPr>
      </w:pPr>
      <w:r>
        <w:rPr>
          <w:lang w:bidi="ar-SA"/>
        </w:rPr>
        <w:t xml:space="preserve">For aquaculture species, growers </w:t>
      </w:r>
      <w:r w:rsidR="00D35537">
        <w:rPr>
          <w:lang w:bidi="ar-SA"/>
        </w:rPr>
        <w:t xml:space="preserve">would be </w:t>
      </w:r>
      <w:r>
        <w:rPr>
          <w:lang w:bidi="ar-SA"/>
        </w:rPr>
        <w:t xml:space="preserve">limited to harvesting from their specific leases. Mid to large companies and co-operatives </w:t>
      </w:r>
      <w:r w:rsidR="006D2DA1">
        <w:rPr>
          <w:lang w:bidi="ar-SA"/>
        </w:rPr>
        <w:t xml:space="preserve">would </w:t>
      </w:r>
      <w:r>
        <w:rPr>
          <w:lang w:bidi="ar-SA"/>
        </w:rPr>
        <w:t xml:space="preserve">have access to leases in multiple growing </w:t>
      </w:r>
      <w:r>
        <w:rPr>
          <w:lang w:bidi="ar-SA"/>
        </w:rPr>
        <w:lastRenderedPageBreak/>
        <w:t xml:space="preserve">areas and </w:t>
      </w:r>
      <w:r w:rsidR="006D2DA1">
        <w:rPr>
          <w:lang w:bidi="ar-SA"/>
        </w:rPr>
        <w:t xml:space="preserve">would </w:t>
      </w:r>
      <w:r>
        <w:rPr>
          <w:lang w:bidi="ar-SA"/>
        </w:rPr>
        <w:t xml:space="preserve">have the ability to shift harvest effort to growing areas that are not impacted by closures. </w:t>
      </w:r>
    </w:p>
    <w:p w14:paraId="1688D1E9" w14:textId="77777777" w:rsidR="001E6F77" w:rsidRDefault="001E6F77" w:rsidP="001A4DC6">
      <w:pPr>
        <w:rPr>
          <w:lang w:bidi="ar-SA"/>
        </w:rPr>
      </w:pPr>
    </w:p>
    <w:p w14:paraId="55DBD1A2" w14:textId="77777777" w:rsidR="001E6F77" w:rsidRDefault="001E6F77" w:rsidP="001A4DC6">
      <w:pPr>
        <w:rPr>
          <w:lang w:bidi="ar-SA"/>
        </w:rPr>
      </w:pPr>
      <w:r w:rsidRPr="001E6F77">
        <w:rPr>
          <w:lang w:bidi="ar-SA"/>
        </w:rPr>
        <w:t>For smaller companies that only exist in one growing area, the cost of the closure will depend on</w:t>
      </w:r>
      <w:r>
        <w:rPr>
          <w:lang w:bidi="ar-SA"/>
        </w:rPr>
        <w:t>:</w:t>
      </w:r>
      <w:r w:rsidRPr="001E6F77">
        <w:rPr>
          <w:lang w:bidi="ar-SA"/>
        </w:rPr>
        <w:t xml:space="preserve"> </w:t>
      </w:r>
    </w:p>
    <w:p w14:paraId="314AC4C0" w14:textId="554A3190" w:rsidR="001E6F77" w:rsidRDefault="001E6F77" w:rsidP="001E6F77">
      <w:pPr>
        <w:pStyle w:val="FSBullet1"/>
      </w:pPr>
      <w:r w:rsidRPr="001E6F77">
        <w:t>the season (commercial demand and prices tend to be higher prior to Christmas and Easter)</w:t>
      </w:r>
    </w:p>
    <w:p w14:paraId="44F72B0F" w14:textId="77777777" w:rsidR="001E6F77" w:rsidRDefault="001E6F77" w:rsidP="001E6F77">
      <w:pPr>
        <w:pStyle w:val="FSBullet1"/>
      </w:pPr>
      <w:r w:rsidRPr="001E6F77">
        <w:t xml:space="preserve">the condition of the shellfish (affecting whether they are selling at all and the price), </w:t>
      </w:r>
    </w:p>
    <w:p w14:paraId="188B6A62" w14:textId="593BBD4F" w:rsidR="00B35FD9" w:rsidRDefault="001E6F77" w:rsidP="001E6F77">
      <w:pPr>
        <w:pStyle w:val="FSBullet1"/>
      </w:pPr>
      <w:r w:rsidRPr="001E6F77">
        <w:t>the volume of shellfish and the length of the closure</w:t>
      </w:r>
    </w:p>
    <w:p w14:paraId="4A6A97A6" w14:textId="77777777" w:rsidR="001E6F77" w:rsidRDefault="001E6F77" w:rsidP="001E6F77">
      <w:pPr>
        <w:rPr>
          <w:lang w:bidi="ar-SA"/>
        </w:rPr>
      </w:pPr>
    </w:p>
    <w:p w14:paraId="07375E93" w14:textId="160E6362" w:rsidR="00EB08B6" w:rsidRDefault="00756E5F" w:rsidP="00EB08B6">
      <w:pPr>
        <w:rPr>
          <w:lang w:bidi="ar-SA"/>
        </w:rPr>
      </w:pPr>
      <w:r w:rsidRPr="00756E5F">
        <w:rPr>
          <w:lang w:bidi="ar-SA"/>
        </w:rPr>
        <w:t xml:space="preserve">In most cases, the impact </w:t>
      </w:r>
      <w:r w:rsidR="000936CE">
        <w:rPr>
          <w:lang w:bidi="ar-SA"/>
        </w:rPr>
        <w:t>would be</w:t>
      </w:r>
      <w:r w:rsidR="000936CE" w:rsidRPr="00756E5F">
        <w:rPr>
          <w:lang w:bidi="ar-SA"/>
        </w:rPr>
        <w:t xml:space="preserve"> </w:t>
      </w:r>
      <w:r w:rsidRPr="00756E5F">
        <w:rPr>
          <w:lang w:bidi="ar-SA"/>
        </w:rPr>
        <w:t>to delay sales of the shellfish until the toxins are depurated.</w:t>
      </w:r>
      <w:r w:rsidR="00EB08B6" w:rsidRPr="00EB08B6">
        <w:rPr>
          <w:lang w:bidi="ar-SA"/>
        </w:rPr>
        <w:t xml:space="preserve"> </w:t>
      </w:r>
      <w:r w:rsidR="00EB08B6" w:rsidRPr="00B97F6E">
        <w:rPr>
          <w:lang w:bidi="ar-SA"/>
        </w:rPr>
        <w:t>In most cases marine biotoxin events are short lived. Weekly sampling ensures areas are re</w:t>
      </w:r>
      <w:r w:rsidR="00EB08B6">
        <w:rPr>
          <w:lang w:bidi="ar-SA"/>
        </w:rPr>
        <w:noBreakHyphen/>
      </w:r>
      <w:r w:rsidR="00EB08B6" w:rsidRPr="00B97F6E">
        <w:rPr>
          <w:lang w:bidi="ar-SA"/>
        </w:rPr>
        <w:t>opened as soon as possible</w:t>
      </w:r>
      <w:r w:rsidR="00EB08B6">
        <w:rPr>
          <w:lang w:bidi="ar-SA"/>
        </w:rPr>
        <w:t>.</w:t>
      </w:r>
    </w:p>
    <w:p w14:paraId="09DC7905" w14:textId="77777777" w:rsidR="00500647" w:rsidRDefault="00500647" w:rsidP="001E6F77">
      <w:pPr>
        <w:rPr>
          <w:lang w:bidi="ar-SA"/>
        </w:rPr>
      </w:pPr>
    </w:p>
    <w:p w14:paraId="086A3076" w14:textId="5348353A" w:rsidR="00500647" w:rsidRDefault="00756E5F" w:rsidP="001E6F77">
      <w:pPr>
        <w:rPr>
          <w:lang w:bidi="ar-SA"/>
        </w:rPr>
      </w:pPr>
      <w:r w:rsidRPr="00756E5F">
        <w:rPr>
          <w:lang w:bidi="ar-SA"/>
        </w:rPr>
        <w:t xml:space="preserve">The actual closures themselves may be between two weeks and several months, although the majority of closures </w:t>
      </w:r>
      <w:r w:rsidR="000936CE">
        <w:rPr>
          <w:lang w:bidi="ar-SA"/>
        </w:rPr>
        <w:t>would</w:t>
      </w:r>
      <w:r w:rsidR="000936CE" w:rsidRPr="00756E5F">
        <w:rPr>
          <w:lang w:bidi="ar-SA"/>
        </w:rPr>
        <w:t xml:space="preserve"> </w:t>
      </w:r>
      <w:r w:rsidRPr="00756E5F">
        <w:rPr>
          <w:lang w:bidi="ar-SA"/>
        </w:rPr>
        <w:t xml:space="preserve">be shorter than one month.  The impact of the proposed change </w:t>
      </w:r>
      <w:r w:rsidR="000936CE">
        <w:rPr>
          <w:lang w:bidi="ar-SA"/>
        </w:rPr>
        <w:t>would</w:t>
      </w:r>
      <w:r w:rsidR="000936CE" w:rsidRPr="00756E5F">
        <w:rPr>
          <w:lang w:bidi="ar-SA"/>
        </w:rPr>
        <w:t xml:space="preserve"> </w:t>
      </w:r>
      <w:r w:rsidRPr="00756E5F">
        <w:rPr>
          <w:lang w:bidi="ar-SA"/>
        </w:rPr>
        <w:t xml:space="preserve">in most cases be a maximum of one extra week closure – the period when toxins are rising and might fall between the current and the proposed ML. </w:t>
      </w:r>
    </w:p>
    <w:p w14:paraId="46B64034" w14:textId="77777777" w:rsidR="00500647" w:rsidRDefault="00500647" w:rsidP="001E6F77">
      <w:pPr>
        <w:rPr>
          <w:lang w:bidi="ar-SA"/>
        </w:rPr>
      </w:pPr>
    </w:p>
    <w:p w14:paraId="5B93E6D5" w14:textId="142EE2FE" w:rsidR="001E6F77" w:rsidRPr="001E6F77" w:rsidRDefault="00756E5F" w:rsidP="001E6F77">
      <w:pPr>
        <w:rPr>
          <w:lang w:bidi="ar-SA"/>
        </w:rPr>
      </w:pPr>
      <w:r w:rsidRPr="00756E5F">
        <w:rPr>
          <w:lang w:bidi="ar-SA"/>
        </w:rPr>
        <w:t xml:space="preserve">When toxin levels are rising, particularly for PSTs, they rapidly exceed the current ML to levels up to two orders of magnitude above the ML. In many cases, the biotoxin rise </w:t>
      </w:r>
      <w:r w:rsidR="000936CE">
        <w:rPr>
          <w:lang w:bidi="ar-SA"/>
        </w:rPr>
        <w:t>would</w:t>
      </w:r>
      <w:r w:rsidR="005E15D8">
        <w:rPr>
          <w:lang w:bidi="ar-SA"/>
        </w:rPr>
        <w:t xml:space="preserve"> </w:t>
      </w:r>
      <w:r w:rsidRPr="00756E5F">
        <w:rPr>
          <w:lang w:bidi="ar-SA"/>
        </w:rPr>
        <w:t>exceed the proposed ML so fast that there will be no impact from this change.</w:t>
      </w:r>
    </w:p>
    <w:p w14:paraId="5D141B5C" w14:textId="77777777" w:rsidR="00E77109" w:rsidRDefault="00E77109" w:rsidP="001A4DC6">
      <w:pPr>
        <w:rPr>
          <w:highlight w:val="yellow"/>
          <w:lang w:bidi="ar-SA"/>
        </w:rPr>
      </w:pPr>
    </w:p>
    <w:p w14:paraId="7754BA0C" w14:textId="4EA19A0C" w:rsidR="001A4DC6" w:rsidRDefault="001A4DC6" w:rsidP="001A4DC6">
      <w:pPr>
        <w:pBdr>
          <w:top w:val="single" w:sz="4" w:space="1" w:color="auto"/>
          <w:left w:val="single" w:sz="4" w:space="4" w:color="auto"/>
          <w:bottom w:val="single" w:sz="4" w:space="1" w:color="auto"/>
          <w:right w:val="single" w:sz="4" w:space="4" w:color="auto"/>
        </w:pBdr>
      </w:pPr>
      <w:r>
        <w:t xml:space="preserve">Question </w:t>
      </w:r>
      <w:r>
        <w:fldChar w:fldCharType="begin"/>
      </w:r>
      <w:r>
        <w:instrText>seq ques</w:instrText>
      </w:r>
      <w:r>
        <w:fldChar w:fldCharType="separate"/>
      </w:r>
      <w:r w:rsidR="00B77F3A">
        <w:rPr>
          <w:noProof/>
        </w:rPr>
        <w:t>5</w:t>
      </w:r>
      <w:r>
        <w:fldChar w:fldCharType="end"/>
      </w:r>
      <w:r>
        <w:t xml:space="preserve">: </w:t>
      </w:r>
      <w:r w:rsidR="00E77109">
        <w:t>Do you have any evidence that can be used to calculate the</w:t>
      </w:r>
      <w:r w:rsidR="00373CAC">
        <w:t xml:space="preserve"> potential</w:t>
      </w:r>
      <w:r w:rsidR="00E77109">
        <w:t xml:space="preserve"> cost </w:t>
      </w:r>
      <w:r w:rsidR="00373CAC">
        <w:t>impact</w:t>
      </w:r>
      <w:r w:rsidR="00E77109">
        <w:t xml:space="preserve"> of the proposal? </w:t>
      </w:r>
    </w:p>
    <w:p w14:paraId="08726289" w14:textId="77777777" w:rsidR="001A4DC6" w:rsidRDefault="001A4DC6" w:rsidP="00814F71">
      <w:pPr>
        <w:pStyle w:val="Heading5"/>
      </w:pPr>
      <w:r>
        <w:t xml:space="preserve">Impacts on importers expected to be minimal </w:t>
      </w:r>
    </w:p>
    <w:p w14:paraId="273AE522" w14:textId="46717202" w:rsidR="001A4DC6" w:rsidRDefault="000A6369" w:rsidP="001A4DC6">
      <w:r>
        <w:t xml:space="preserve">The </w:t>
      </w:r>
      <w:r w:rsidR="005A4DB5">
        <w:t>proposed amendments in the draft variation</w:t>
      </w:r>
      <w:r>
        <w:t xml:space="preserve"> </w:t>
      </w:r>
      <w:r w:rsidR="005A4DB5">
        <w:t xml:space="preserve">would </w:t>
      </w:r>
      <w:r>
        <w:t xml:space="preserve">also apply to </w:t>
      </w:r>
      <w:r w:rsidR="00E7720E">
        <w:t xml:space="preserve">seafood imported into Australia. </w:t>
      </w:r>
    </w:p>
    <w:p w14:paraId="67B2BCCE" w14:textId="77777777" w:rsidR="00E7720E" w:rsidRDefault="00E7720E" w:rsidP="001A4DC6"/>
    <w:p w14:paraId="1E17F464" w14:textId="2C79A554" w:rsidR="00E7720E" w:rsidRDefault="00E7720E" w:rsidP="001A4DC6">
      <w:r>
        <w:t xml:space="preserve">Based on </w:t>
      </w:r>
      <w:r w:rsidR="008456B5">
        <w:t>data for the decade 2010 to 2020</w:t>
      </w:r>
      <w:r>
        <w:rPr>
          <w:rStyle w:val="FootnoteReference"/>
        </w:rPr>
        <w:footnoteReference w:id="4"/>
      </w:r>
      <w:r>
        <w:t xml:space="preserve">, there has only been one </w:t>
      </w:r>
      <w:r w:rsidR="00571F0C">
        <w:t xml:space="preserve">instance </w:t>
      </w:r>
      <w:r w:rsidR="002659CC">
        <w:t>where imported products would not meet the lower threshold. The detected amount of biotoxin in this instance was also above the current standard.</w:t>
      </w:r>
    </w:p>
    <w:p w14:paraId="0E2C3EAB" w14:textId="77777777" w:rsidR="002659CC" w:rsidRDefault="002659CC" w:rsidP="001A4DC6"/>
    <w:p w14:paraId="3357E61A" w14:textId="63F9E248" w:rsidR="002659CC" w:rsidRDefault="002659CC" w:rsidP="001A4DC6">
      <w:r>
        <w:t xml:space="preserve">Based on this data, FSANZ concludes there is unlikely to be any impact on imported seafood. </w:t>
      </w:r>
    </w:p>
    <w:p w14:paraId="3B0C7100" w14:textId="77777777" w:rsidR="00DA2A94" w:rsidRDefault="00DA2A94" w:rsidP="001A4DC6"/>
    <w:p w14:paraId="3CEED3FF" w14:textId="0C233F46" w:rsidR="00D5104C" w:rsidRDefault="00DA2A94" w:rsidP="00286A46">
      <w:pPr>
        <w:pBdr>
          <w:top w:val="single" w:sz="4" w:space="1" w:color="auto"/>
          <w:left w:val="single" w:sz="4" w:space="4" w:color="auto"/>
          <w:bottom w:val="single" w:sz="4" w:space="1" w:color="auto"/>
          <w:right w:val="single" w:sz="4" w:space="4" w:color="auto"/>
        </w:pBdr>
      </w:pPr>
      <w:r>
        <w:t xml:space="preserve">Question </w:t>
      </w:r>
      <w:r>
        <w:fldChar w:fldCharType="begin"/>
      </w:r>
      <w:r>
        <w:instrText>seq ques</w:instrText>
      </w:r>
      <w:r>
        <w:fldChar w:fldCharType="separate"/>
      </w:r>
      <w:r w:rsidR="00B77F3A">
        <w:rPr>
          <w:noProof/>
        </w:rPr>
        <w:t>6</w:t>
      </w:r>
      <w:r>
        <w:fldChar w:fldCharType="end"/>
      </w:r>
      <w:r w:rsidR="005E76EE">
        <w:t xml:space="preserve">: Do you agree that there is unlikely to be any impact on international trade? If not, do you have evidence </w:t>
      </w:r>
      <w:r w:rsidR="00D54E0E">
        <w:t xml:space="preserve">that can be used to demonstrate an impact? </w:t>
      </w:r>
    </w:p>
    <w:p w14:paraId="25A1A8A7" w14:textId="6A304567" w:rsidR="00D5104C" w:rsidRDefault="00D5104C" w:rsidP="00304CCC">
      <w:pPr>
        <w:pStyle w:val="Heading3"/>
      </w:pPr>
      <w:bookmarkStart w:id="29" w:name="_Toc139031148"/>
      <w:r>
        <w:t>Impacts on government</w:t>
      </w:r>
      <w:bookmarkEnd w:id="29"/>
    </w:p>
    <w:p w14:paraId="72ACCC8E" w14:textId="60ACAACE" w:rsidR="00D5104C" w:rsidRDefault="00D5104C" w:rsidP="00D5104C">
      <w:pPr>
        <w:rPr>
          <w:lang w:eastAsia="en-AU" w:bidi="ar-SA"/>
        </w:rPr>
      </w:pPr>
      <w:r>
        <w:rPr>
          <w:lang w:eastAsia="en-AU" w:bidi="ar-SA"/>
        </w:rPr>
        <w:t xml:space="preserve">Government agencies </w:t>
      </w:r>
      <w:r w:rsidR="00C1137D">
        <w:rPr>
          <w:lang w:eastAsia="en-AU" w:bidi="ar-SA"/>
        </w:rPr>
        <w:t xml:space="preserve">would </w:t>
      </w:r>
      <w:r>
        <w:rPr>
          <w:lang w:eastAsia="en-AU" w:bidi="ar-SA"/>
        </w:rPr>
        <w:t>benefit from having a single set of standard</w:t>
      </w:r>
      <w:r w:rsidR="00C247A6">
        <w:rPr>
          <w:lang w:eastAsia="en-AU" w:bidi="ar-SA"/>
        </w:rPr>
        <w:t>s</w:t>
      </w:r>
      <w:r w:rsidR="00EF508F">
        <w:rPr>
          <w:lang w:eastAsia="en-AU" w:bidi="ar-SA"/>
        </w:rPr>
        <w:t xml:space="preserve">, simplifying monitoring and enforcement of regulation.  </w:t>
      </w:r>
    </w:p>
    <w:p w14:paraId="3C10DCA7" w14:textId="77777777" w:rsidR="00EF508F" w:rsidRDefault="00EF508F" w:rsidP="00D5104C">
      <w:pPr>
        <w:rPr>
          <w:lang w:eastAsia="en-AU" w:bidi="ar-SA"/>
        </w:rPr>
      </w:pPr>
    </w:p>
    <w:p w14:paraId="53B7CC55" w14:textId="5B218983" w:rsidR="00EF508F" w:rsidRDefault="00EF508F" w:rsidP="00D5104C">
      <w:pPr>
        <w:rPr>
          <w:lang w:eastAsia="en-AU" w:bidi="ar-SA"/>
        </w:rPr>
      </w:pPr>
      <w:r>
        <w:rPr>
          <w:lang w:eastAsia="en-AU" w:bidi="ar-SA"/>
        </w:rPr>
        <w:t xml:space="preserve">Governments </w:t>
      </w:r>
      <w:r w:rsidR="00C1137D">
        <w:rPr>
          <w:lang w:eastAsia="en-AU" w:bidi="ar-SA"/>
        </w:rPr>
        <w:t xml:space="preserve">would </w:t>
      </w:r>
      <w:r>
        <w:rPr>
          <w:lang w:eastAsia="en-AU" w:bidi="ar-SA"/>
        </w:rPr>
        <w:t xml:space="preserve">also benefit from reduced healthcare costs, </w:t>
      </w:r>
      <w:r w:rsidR="00660CA7">
        <w:rPr>
          <w:lang w:eastAsia="en-AU" w:bidi="ar-SA"/>
        </w:rPr>
        <w:t xml:space="preserve">as the lower threshold has the potential to reduce the number of consumers requiring medical treatment. </w:t>
      </w:r>
    </w:p>
    <w:p w14:paraId="630AD6E9" w14:textId="77777777" w:rsidR="00103843" w:rsidRDefault="00103843" w:rsidP="00D5104C">
      <w:pPr>
        <w:rPr>
          <w:lang w:eastAsia="en-AU" w:bidi="ar-SA"/>
        </w:rPr>
      </w:pPr>
    </w:p>
    <w:p w14:paraId="00E93706" w14:textId="210A6C82" w:rsidR="00103843" w:rsidRPr="00D5104C" w:rsidRDefault="00103843" w:rsidP="00D5104C">
      <w:pPr>
        <w:rPr>
          <w:lang w:eastAsia="en-AU" w:bidi="ar-SA"/>
        </w:rPr>
      </w:pPr>
      <w:r>
        <w:rPr>
          <w:lang w:eastAsia="en-AU" w:bidi="ar-SA"/>
        </w:rPr>
        <w:t xml:space="preserve">The value of this benefit has not been quantified, but is expected to be small. </w:t>
      </w:r>
    </w:p>
    <w:p w14:paraId="030C08D2" w14:textId="05228AFA" w:rsidR="001A4DC6" w:rsidRDefault="001A4DC6" w:rsidP="001A4DC6">
      <w:pPr>
        <w:rPr>
          <w:lang w:bidi="ar-SA"/>
        </w:rPr>
      </w:pPr>
    </w:p>
    <w:p w14:paraId="193A554A" w14:textId="77777777" w:rsidR="003F3C02" w:rsidRDefault="003F3C02" w:rsidP="001A4DC6">
      <w:pPr>
        <w:rPr>
          <w:lang w:bidi="ar-SA"/>
        </w:rPr>
      </w:pPr>
    </w:p>
    <w:p w14:paraId="5AAE7FE3" w14:textId="72E2B1D4" w:rsidR="00554BEF" w:rsidRDefault="00554BEF" w:rsidP="00E41971">
      <w:pPr>
        <w:pBdr>
          <w:top w:val="single" w:sz="4" w:space="1" w:color="auto"/>
          <w:left w:val="single" w:sz="4" w:space="4" w:color="auto"/>
          <w:bottom w:val="single" w:sz="4" w:space="1" w:color="auto"/>
          <w:right w:val="single" w:sz="4" w:space="4" w:color="auto"/>
        </w:pBdr>
      </w:pPr>
      <w:r>
        <w:t xml:space="preserve">Question </w:t>
      </w:r>
      <w:r>
        <w:fldChar w:fldCharType="begin"/>
      </w:r>
      <w:r>
        <w:instrText>seq ques</w:instrText>
      </w:r>
      <w:r>
        <w:fldChar w:fldCharType="separate"/>
      </w:r>
      <w:r w:rsidR="00B77F3A">
        <w:rPr>
          <w:noProof/>
        </w:rPr>
        <w:t>7</w:t>
      </w:r>
      <w:r>
        <w:fldChar w:fldCharType="end"/>
      </w:r>
      <w:r>
        <w:t xml:space="preserve">: Do you agree that there </w:t>
      </w:r>
      <w:r w:rsidR="00E41971">
        <w:t xml:space="preserve">is a benefit to government? Do you have any evidence that can be used to quantify any of the potential impacts? </w:t>
      </w:r>
      <w:r>
        <w:t xml:space="preserve"> </w:t>
      </w:r>
    </w:p>
    <w:p w14:paraId="49E8FABC" w14:textId="5D5F4803" w:rsidR="00855EE3" w:rsidRDefault="00C24B19" w:rsidP="00C50BEA">
      <w:pPr>
        <w:pStyle w:val="Heading2"/>
      </w:pPr>
      <w:bookmarkStart w:id="30" w:name="_Toc139031149"/>
      <w:r>
        <w:t>Conclusion</w:t>
      </w:r>
      <w:bookmarkEnd w:id="30"/>
      <w:r>
        <w:t xml:space="preserve"> </w:t>
      </w:r>
    </w:p>
    <w:p w14:paraId="3303A11D" w14:textId="6863F9F7" w:rsidR="00C24B19" w:rsidRDefault="008200B9" w:rsidP="00C24B19">
      <w:pPr>
        <w:rPr>
          <w:lang w:bidi="ar-SA"/>
        </w:rPr>
      </w:pPr>
      <w:r>
        <w:rPr>
          <w:lang w:bidi="ar-SA"/>
        </w:rPr>
        <w:t xml:space="preserve">FSANZ concludes that the benefits of this </w:t>
      </w:r>
      <w:r w:rsidR="007145AC">
        <w:rPr>
          <w:lang w:bidi="ar-SA"/>
        </w:rPr>
        <w:t xml:space="preserve">proposed change </w:t>
      </w:r>
      <w:r w:rsidR="004C6649">
        <w:rPr>
          <w:lang w:bidi="ar-SA"/>
        </w:rPr>
        <w:t>(</w:t>
      </w:r>
      <w:r>
        <w:rPr>
          <w:lang w:bidi="ar-SA"/>
        </w:rPr>
        <w:t xml:space="preserve">international harmonisation) </w:t>
      </w:r>
      <w:r w:rsidR="00C1137D">
        <w:rPr>
          <w:lang w:bidi="ar-SA"/>
        </w:rPr>
        <w:t xml:space="preserve">would </w:t>
      </w:r>
      <w:r>
        <w:rPr>
          <w:lang w:bidi="ar-SA"/>
        </w:rPr>
        <w:t>likely outweigh the costs</w:t>
      </w:r>
      <w:r w:rsidR="00693CBC">
        <w:rPr>
          <w:lang w:bidi="ar-SA"/>
        </w:rPr>
        <w:t xml:space="preserve"> (increased closures).</w:t>
      </w:r>
    </w:p>
    <w:p w14:paraId="395C32F4" w14:textId="77777777" w:rsidR="00693CBC" w:rsidRDefault="00693CBC" w:rsidP="00C24B19">
      <w:pPr>
        <w:rPr>
          <w:lang w:bidi="ar-SA"/>
        </w:rPr>
      </w:pPr>
    </w:p>
    <w:p w14:paraId="3A5E2162" w14:textId="33935F70" w:rsidR="00693CBC" w:rsidRDefault="00693CBC" w:rsidP="00C24B19">
      <w:pPr>
        <w:rPr>
          <w:lang w:bidi="ar-SA"/>
        </w:rPr>
      </w:pPr>
      <w:r>
        <w:rPr>
          <w:lang w:bidi="ar-SA"/>
        </w:rPr>
        <w:t xml:space="preserve">FSANZ welcomes any data that stakeholders can provide that will improve the certainty of the cost benefit analysis. </w:t>
      </w:r>
    </w:p>
    <w:p w14:paraId="194167EC" w14:textId="77777777" w:rsidR="00693CBC" w:rsidRDefault="00693CBC">
      <w:pPr>
        <w:widowControl/>
        <w:rPr>
          <w:lang w:bidi="ar-SA"/>
        </w:rPr>
      </w:pPr>
    </w:p>
    <w:p w14:paraId="7D3C837A" w14:textId="3DD0D0A5" w:rsidR="00693CBC" w:rsidRDefault="00693CBC" w:rsidP="00693CBC">
      <w:pPr>
        <w:pBdr>
          <w:top w:val="single" w:sz="4" w:space="1" w:color="auto"/>
          <w:left w:val="single" w:sz="4" w:space="4" w:color="auto"/>
          <w:bottom w:val="single" w:sz="4" w:space="1" w:color="auto"/>
          <w:right w:val="single" w:sz="4" w:space="4" w:color="auto"/>
        </w:pBdr>
      </w:pPr>
      <w:r>
        <w:t xml:space="preserve">Question </w:t>
      </w:r>
      <w:r>
        <w:fldChar w:fldCharType="begin"/>
      </w:r>
      <w:r>
        <w:instrText>seq ques</w:instrText>
      </w:r>
      <w:r>
        <w:fldChar w:fldCharType="separate"/>
      </w:r>
      <w:r w:rsidR="00B77F3A">
        <w:rPr>
          <w:noProof/>
        </w:rPr>
        <w:t>8</w:t>
      </w:r>
      <w:r>
        <w:fldChar w:fldCharType="end"/>
      </w:r>
      <w:r>
        <w:t xml:space="preserve">: Do you agree that benefits outweigh costs? </w:t>
      </w:r>
    </w:p>
    <w:p w14:paraId="34AC748C" w14:textId="4E471D71" w:rsidR="00496656" w:rsidRDefault="00496656">
      <w:pPr>
        <w:widowControl/>
        <w:rPr>
          <w:lang w:bidi="ar-SA"/>
        </w:rPr>
      </w:pPr>
      <w:r>
        <w:rPr>
          <w:lang w:bidi="ar-SA"/>
        </w:rPr>
        <w:br w:type="page"/>
      </w:r>
    </w:p>
    <w:p w14:paraId="54E876FD" w14:textId="0281FD9B" w:rsidR="00496656" w:rsidRDefault="00496656" w:rsidP="00BD1B74">
      <w:pPr>
        <w:pStyle w:val="Heading1"/>
        <w:numPr>
          <w:ilvl w:val="0"/>
          <w:numId w:val="0"/>
        </w:numPr>
        <w:ind w:left="360" w:hanging="360"/>
      </w:pPr>
      <w:bookmarkStart w:id="31" w:name="_Toc139031150"/>
      <w:r>
        <w:lastRenderedPageBreak/>
        <w:t>Attachment A – List of questions for stakeholders</w:t>
      </w:r>
      <w:bookmarkEnd w:id="31"/>
    </w:p>
    <w:p w14:paraId="3AA52B2F" w14:textId="38F4D141" w:rsidR="00683A4D" w:rsidRDefault="00683A4D" w:rsidP="00683A4D">
      <w:pPr>
        <w:rPr>
          <w:lang w:bidi="ar-SA"/>
        </w:rPr>
      </w:pPr>
      <w:r>
        <w:rPr>
          <w:lang w:bidi="ar-SA"/>
        </w:rPr>
        <w:t xml:space="preserve">FSANZ has relied on the best available information (primarily from the </w:t>
      </w:r>
      <w:r w:rsidR="006F7330">
        <w:rPr>
          <w:lang w:bidi="ar-SA"/>
        </w:rPr>
        <w:t>application</w:t>
      </w:r>
      <w:r>
        <w:rPr>
          <w:lang w:bidi="ar-SA"/>
        </w:rPr>
        <w:t xml:space="preserve">) to inform the consideration of costs and benefits. </w:t>
      </w:r>
    </w:p>
    <w:p w14:paraId="6D767AEB" w14:textId="77777777" w:rsidR="00683A4D" w:rsidRDefault="00683A4D" w:rsidP="00683A4D">
      <w:pPr>
        <w:rPr>
          <w:lang w:bidi="ar-SA"/>
        </w:rPr>
      </w:pPr>
    </w:p>
    <w:p w14:paraId="5F0ABB8D" w14:textId="5A215C0F" w:rsidR="00624744" w:rsidRDefault="00683A4D" w:rsidP="00683A4D">
      <w:pPr>
        <w:rPr>
          <w:lang w:bidi="ar-SA"/>
        </w:rPr>
      </w:pPr>
      <w:r>
        <w:rPr>
          <w:lang w:bidi="ar-SA"/>
        </w:rPr>
        <w:t xml:space="preserve">We are seeking additional information from stakeholders to test our assumptions and improve the analysis for the Approval Report.  To </w:t>
      </w:r>
      <w:r w:rsidR="00F073D1">
        <w:rPr>
          <w:lang w:bidi="ar-SA"/>
        </w:rPr>
        <w:t>elicit</w:t>
      </w:r>
      <w:r>
        <w:rPr>
          <w:lang w:bidi="ar-SA"/>
        </w:rPr>
        <w:t xml:space="preserve"> this information, we have posed a number of questions throughout this document.</w:t>
      </w:r>
    </w:p>
    <w:p w14:paraId="54EF9A29" w14:textId="77777777" w:rsidR="00683A4D" w:rsidRDefault="00683A4D" w:rsidP="00683A4D">
      <w:pPr>
        <w:rPr>
          <w:lang w:bidi="ar-SA"/>
        </w:rPr>
      </w:pPr>
    </w:p>
    <w:p w14:paraId="0ECE02DC" w14:textId="39C9EDF5" w:rsidR="00FD39D2" w:rsidRDefault="00624744" w:rsidP="00624744">
      <w:pPr>
        <w:rPr>
          <w:lang w:bidi="ar-SA"/>
        </w:rPr>
      </w:pPr>
      <w:r>
        <w:rPr>
          <w:lang w:bidi="ar-SA"/>
        </w:rPr>
        <w:t>Answers to the following questions should be included with submissions.</w:t>
      </w:r>
    </w:p>
    <w:p w14:paraId="7AF7E190" w14:textId="77777777" w:rsidR="00FD39D2" w:rsidRPr="00FD39D2" w:rsidRDefault="00FD39D2" w:rsidP="00FD39D2">
      <w:pPr>
        <w:rPr>
          <w:lang w:bidi="ar-SA"/>
        </w:rPr>
      </w:pPr>
    </w:p>
    <w:p w14:paraId="7DE5BE36" w14:textId="24E5004F" w:rsidR="00496656" w:rsidRDefault="00A74C81" w:rsidP="00A74C81">
      <w:pPr>
        <w:pStyle w:val="ListParagraph"/>
        <w:numPr>
          <w:ilvl w:val="0"/>
          <w:numId w:val="8"/>
        </w:numPr>
        <w:pBdr>
          <w:top w:val="single" w:sz="4" w:space="1" w:color="auto"/>
          <w:left w:val="single" w:sz="4" w:space="4" w:color="auto"/>
          <w:bottom w:val="single" w:sz="4" w:space="1" w:color="auto"/>
          <w:right w:val="single" w:sz="4" w:space="4" w:color="auto"/>
        </w:pBdr>
        <w:spacing w:before="120" w:after="120"/>
        <w:contextualSpacing w:val="0"/>
        <w:rPr>
          <w:lang w:bidi="ar-SA"/>
        </w:rPr>
      </w:pPr>
      <w:r w:rsidRPr="00A74C81">
        <w:rPr>
          <w:lang w:bidi="ar-SA"/>
        </w:rPr>
        <w:t>Are there any significant impacts missing from table 1?</w:t>
      </w:r>
    </w:p>
    <w:p w14:paraId="0FE2FC93" w14:textId="77777777" w:rsidR="00597E88" w:rsidRDefault="00597E88" w:rsidP="00A74C81">
      <w:pPr>
        <w:pStyle w:val="ListParagraph"/>
        <w:numPr>
          <w:ilvl w:val="0"/>
          <w:numId w:val="8"/>
        </w:numPr>
        <w:pBdr>
          <w:top w:val="single" w:sz="4" w:space="1" w:color="auto"/>
          <w:left w:val="single" w:sz="4" w:space="4" w:color="auto"/>
          <w:bottom w:val="single" w:sz="4" w:space="1" w:color="auto"/>
          <w:right w:val="single" w:sz="4" w:space="4" w:color="auto"/>
        </w:pBdr>
        <w:spacing w:before="120" w:after="120"/>
        <w:contextualSpacing w:val="0"/>
        <w:rPr>
          <w:lang w:bidi="ar-SA"/>
        </w:rPr>
      </w:pPr>
      <w:r w:rsidRPr="00597E88">
        <w:rPr>
          <w:lang w:bidi="ar-SA"/>
        </w:rPr>
        <w:t xml:space="preserve">Do you have any data that can be used to quantify the potential reduction in foodborne illnesses?  </w:t>
      </w:r>
    </w:p>
    <w:p w14:paraId="774ED24E" w14:textId="62025E28" w:rsidR="00A74C81" w:rsidRDefault="00A74C81" w:rsidP="00A74C81">
      <w:pPr>
        <w:pStyle w:val="ListParagraph"/>
        <w:numPr>
          <w:ilvl w:val="0"/>
          <w:numId w:val="8"/>
        </w:numPr>
        <w:pBdr>
          <w:top w:val="single" w:sz="4" w:space="1" w:color="auto"/>
          <w:left w:val="single" w:sz="4" w:space="4" w:color="auto"/>
          <w:bottom w:val="single" w:sz="4" w:space="1" w:color="auto"/>
          <w:right w:val="single" w:sz="4" w:space="4" w:color="auto"/>
        </w:pBdr>
        <w:spacing w:before="120" w:after="120"/>
        <w:contextualSpacing w:val="0"/>
        <w:rPr>
          <w:lang w:bidi="ar-SA"/>
        </w:rPr>
      </w:pPr>
      <w:r w:rsidRPr="00A74C81">
        <w:rPr>
          <w:lang w:bidi="ar-SA"/>
        </w:rPr>
        <w:t>Do you agree with the value of the industry and the number of impacted businesses? If not, do you have any alternative data that you would like us to consider?</w:t>
      </w:r>
    </w:p>
    <w:p w14:paraId="34403E7E" w14:textId="390710E9" w:rsidR="00A4335A" w:rsidRDefault="00012C16">
      <w:pPr>
        <w:pStyle w:val="ListParagraph"/>
        <w:numPr>
          <w:ilvl w:val="0"/>
          <w:numId w:val="8"/>
        </w:numPr>
        <w:pBdr>
          <w:top w:val="single" w:sz="4" w:space="1" w:color="auto"/>
          <w:left w:val="single" w:sz="4" w:space="4" w:color="auto"/>
          <w:bottom w:val="single" w:sz="4" w:space="1" w:color="auto"/>
          <w:right w:val="single" w:sz="4" w:space="4" w:color="auto"/>
        </w:pBdr>
        <w:spacing w:before="120" w:after="120"/>
        <w:contextualSpacing w:val="0"/>
        <w:rPr>
          <w:lang w:bidi="ar-SA"/>
        </w:rPr>
      </w:pPr>
      <w:r w:rsidRPr="00012C16">
        <w:rPr>
          <w:lang w:bidi="ar-SA"/>
        </w:rPr>
        <w:t xml:space="preserve">Do </w:t>
      </w:r>
      <w:r w:rsidR="00A4335A" w:rsidRPr="00A4335A">
        <w:rPr>
          <w:lang w:bidi="ar-SA"/>
        </w:rPr>
        <w:t>you agree with the estimated number of additional detections per year? Do you have any additional data that could be used to improve the estimate or estimate the potential number of additional closures?</w:t>
      </w:r>
    </w:p>
    <w:p w14:paraId="374A46B8" w14:textId="4C3B5941" w:rsidR="00A74C81" w:rsidRDefault="00A4335A" w:rsidP="00A74C81">
      <w:pPr>
        <w:pStyle w:val="ListParagraph"/>
        <w:numPr>
          <w:ilvl w:val="0"/>
          <w:numId w:val="8"/>
        </w:numPr>
        <w:pBdr>
          <w:top w:val="single" w:sz="4" w:space="1" w:color="auto"/>
          <w:left w:val="single" w:sz="4" w:space="4" w:color="auto"/>
          <w:bottom w:val="single" w:sz="4" w:space="1" w:color="auto"/>
          <w:right w:val="single" w:sz="4" w:space="4" w:color="auto"/>
        </w:pBdr>
        <w:spacing w:before="120" w:after="120"/>
        <w:contextualSpacing w:val="0"/>
        <w:rPr>
          <w:lang w:bidi="ar-SA"/>
        </w:rPr>
      </w:pPr>
      <w:r w:rsidRPr="00A4335A">
        <w:rPr>
          <w:lang w:bidi="ar-SA"/>
        </w:rPr>
        <w:t xml:space="preserve">Do you have any evidence that can be used to calculate the potential cost impact of the proposal? </w:t>
      </w:r>
    </w:p>
    <w:p w14:paraId="79B23D0D" w14:textId="0015BB58" w:rsidR="00A74C81" w:rsidRDefault="00A74C81" w:rsidP="00A74C81">
      <w:pPr>
        <w:pStyle w:val="ListParagraph"/>
        <w:numPr>
          <w:ilvl w:val="0"/>
          <w:numId w:val="8"/>
        </w:numPr>
        <w:pBdr>
          <w:top w:val="single" w:sz="4" w:space="1" w:color="auto"/>
          <w:left w:val="single" w:sz="4" w:space="4" w:color="auto"/>
          <w:bottom w:val="single" w:sz="4" w:space="1" w:color="auto"/>
          <w:right w:val="single" w:sz="4" w:space="4" w:color="auto"/>
        </w:pBdr>
        <w:spacing w:before="120" w:after="120"/>
        <w:contextualSpacing w:val="0"/>
        <w:rPr>
          <w:lang w:bidi="ar-SA"/>
        </w:rPr>
      </w:pPr>
      <w:r w:rsidRPr="00A74C81">
        <w:rPr>
          <w:lang w:bidi="ar-SA"/>
        </w:rPr>
        <w:t>Do you agree that there is unlikely to be any impact on international trade? If not, do you have evidence that can be used to demonstrate an impact?</w:t>
      </w:r>
    </w:p>
    <w:p w14:paraId="69EF0CC3" w14:textId="7DEB737E" w:rsidR="00A74C81" w:rsidRDefault="00A74C81" w:rsidP="00A74C81">
      <w:pPr>
        <w:pStyle w:val="ListParagraph"/>
        <w:numPr>
          <w:ilvl w:val="0"/>
          <w:numId w:val="8"/>
        </w:numPr>
        <w:pBdr>
          <w:top w:val="single" w:sz="4" w:space="1" w:color="auto"/>
          <w:left w:val="single" w:sz="4" w:space="4" w:color="auto"/>
          <w:bottom w:val="single" w:sz="4" w:space="1" w:color="auto"/>
          <w:right w:val="single" w:sz="4" w:space="4" w:color="auto"/>
        </w:pBdr>
        <w:spacing w:before="120" w:after="120"/>
        <w:contextualSpacing w:val="0"/>
        <w:rPr>
          <w:lang w:bidi="ar-SA"/>
        </w:rPr>
      </w:pPr>
      <w:r w:rsidRPr="00A74C81">
        <w:rPr>
          <w:lang w:bidi="ar-SA"/>
        </w:rPr>
        <w:t xml:space="preserve">Do you agree that there is a benefit to government? Do you have any evidence that can be used to quantify any of the potential impacts?  </w:t>
      </w:r>
    </w:p>
    <w:p w14:paraId="79B1611D" w14:textId="406A8325" w:rsidR="00693CBC" w:rsidRPr="00496656" w:rsidRDefault="00693CBC" w:rsidP="00A74C81">
      <w:pPr>
        <w:pStyle w:val="ListParagraph"/>
        <w:numPr>
          <w:ilvl w:val="0"/>
          <w:numId w:val="8"/>
        </w:numPr>
        <w:pBdr>
          <w:top w:val="single" w:sz="4" w:space="1" w:color="auto"/>
          <w:left w:val="single" w:sz="4" w:space="4" w:color="auto"/>
          <w:bottom w:val="single" w:sz="4" w:space="1" w:color="auto"/>
          <w:right w:val="single" w:sz="4" w:space="4" w:color="auto"/>
        </w:pBdr>
        <w:spacing w:before="120" w:after="120"/>
        <w:contextualSpacing w:val="0"/>
        <w:rPr>
          <w:lang w:bidi="ar-SA"/>
        </w:rPr>
      </w:pPr>
      <w:r w:rsidRPr="00693CBC">
        <w:rPr>
          <w:lang w:bidi="ar-SA"/>
        </w:rPr>
        <w:t>Do you agree that benefits outweigh costs?</w:t>
      </w:r>
    </w:p>
    <w:sectPr w:rsidR="00693CBC" w:rsidRPr="00496656"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17C4" w14:textId="77777777" w:rsidR="00E477F8" w:rsidRDefault="00E477F8">
      <w:r>
        <w:separator/>
      </w:r>
    </w:p>
  </w:endnote>
  <w:endnote w:type="continuationSeparator" w:id="0">
    <w:p w14:paraId="7E1DB521" w14:textId="77777777" w:rsidR="00E477F8" w:rsidRDefault="00E477F8">
      <w:r>
        <w:continuationSeparator/>
      </w:r>
    </w:p>
  </w:endnote>
  <w:endnote w:type="continuationNotice" w:id="1">
    <w:p w14:paraId="16B6105D" w14:textId="77777777" w:rsidR="00E477F8" w:rsidRDefault="00E47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F321" w14:textId="08551624" w:rsidR="00244B01" w:rsidRPr="00DE1BD0" w:rsidRDefault="00B77F3A" w:rsidP="00DE1BD0">
    <w:pPr>
      <w:pStyle w:val="Footer"/>
      <w:framePr w:wrap="around" w:vAnchor="text" w:hAnchor="margin" w:xAlign="center" w:y="1"/>
      <w:jc w:val="center"/>
      <w:rPr>
        <w:rStyle w:val="PageNumber"/>
        <w:rFonts w:ascii="Calibri" w:hAnsi="Calibri" w:cs="Calibri"/>
        <w:b/>
        <w:color w:val="F00000"/>
        <w:sz w:val="24"/>
      </w:rPr>
    </w:pPr>
    <w:r>
      <w:rPr>
        <w:noProof/>
      </w:rPr>
      <mc:AlternateContent>
        <mc:Choice Requires="wps">
          <w:drawing>
            <wp:anchor distT="0" distB="0" distL="114300" distR="114300" simplePos="0" relativeHeight="251664411" behindDoc="0" locked="1" layoutInCell="0" allowOverlap="1" wp14:anchorId="433F0698" wp14:editId="65FC40FA">
              <wp:simplePos x="0" y="0"/>
              <wp:positionH relativeFrom="margin">
                <wp:align>center</wp:align>
              </wp:positionH>
              <wp:positionV relativeFrom="bottomMargin">
                <wp:align>center</wp:align>
              </wp:positionV>
              <wp:extent cx="892175" cy="273050"/>
              <wp:effectExtent l="0" t="0" r="0" b="0"/>
              <wp:wrapNone/>
              <wp:docPr id="19" name="janusSEAL SC F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92E12F" w14:textId="05F9CE46" w:rsidR="00B77F3A" w:rsidRPr="00B77F3A" w:rsidRDefault="00B77F3A" w:rsidP="00B77F3A">
                          <w:pPr>
                            <w:jc w:val="center"/>
                            <w:rPr>
                              <w:b/>
                              <w:color w:val="FF0000"/>
                              <w:sz w:val="24"/>
                            </w:rPr>
                          </w:pPr>
                          <w:r w:rsidRPr="00B77F3A">
                            <w:rPr>
                              <w:b/>
                              <w:color w:val="FF0000"/>
                              <w:sz w:val="24"/>
                            </w:rPr>
                            <w:fldChar w:fldCharType="begin"/>
                          </w:r>
                          <w:r w:rsidRPr="00B77F3A">
                            <w:rPr>
                              <w:b/>
                              <w:color w:val="FF0000"/>
                              <w:sz w:val="24"/>
                            </w:rPr>
                            <w:instrText xml:space="preserve"> DOCPROPERTY PM_ProtectiveMarkingValue_Footer \* MERGEFORMAT </w:instrText>
                          </w:r>
                          <w:r w:rsidRPr="00B77F3A">
                            <w:rPr>
                              <w:b/>
                              <w:color w:val="FF0000"/>
                              <w:sz w:val="24"/>
                            </w:rPr>
                            <w:fldChar w:fldCharType="separate"/>
                          </w:r>
                          <w:r>
                            <w:rPr>
                              <w:b/>
                              <w:color w:val="FF0000"/>
                              <w:sz w:val="24"/>
                            </w:rPr>
                            <w:t>OFFICIAL</w:t>
                          </w:r>
                          <w:r w:rsidRPr="00B77F3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33F0698" id="_x0000_t202" coordsize="21600,21600" o:spt="202" path="m,l,21600r21600,l21600,xe">
              <v:stroke joinstyle="miter"/>
              <v:path gradientshapeok="t" o:connecttype="rect"/>
            </v:shapetype>
            <v:shape id="janusSEAL SC F_EvenPage" o:spid="_x0000_s1033" type="#_x0000_t202" style="position:absolute;left:0;text-align:left;margin-left:0;margin-top:0;width:70.25pt;height:21.5pt;z-index:25166441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9hc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YxP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1i9hcGQIAADEEAAAOAAAAAAAAAAAAAAAAAC4CAABkcnMvZTJvRG9jLnhtbFBLAQItABQABgAI&#10;AAAAIQBpOk852wAAAAQBAAAPAAAAAAAAAAAAAAAAAHMEAABkcnMvZG93bnJldi54bWxQSwUGAAAA&#10;AAQABADzAAAAewUAAAAA&#10;" o:allowincell="f" filled="f" stroked="f" strokeweight=".5pt">
              <v:fill o:detectmouseclick="t"/>
              <v:textbox style="mso-fit-shape-to-text:t">
                <w:txbxContent>
                  <w:p w14:paraId="7092E12F" w14:textId="05F9CE46" w:rsidR="00B77F3A" w:rsidRPr="00B77F3A" w:rsidRDefault="00B77F3A" w:rsidP="00B77F3A">
                    <w:pPr>
                      <w:jc w:val="center"/>
                      <w:rPr>
                        <w:b/>
                        <w:color w:val="FF0000"/>
                        <w:sz w:val="24"/>
                      </w:rPr>
                    </w:pPr>
                    <w:r w:rsidRPr="00B77F3A">
                      <w:rPr>
                        <w:b/>
                        <w:color w:val="FF0000"/>
                        <w:sz w:val="24"/>
                      </w:rPr>
                      <w:fldChar w:fldCharType="begin"/>
                    </w:r>
                    <w:r w:rsidRPr="00B77F3A">
                      <w:rPr>
                        <w:b/>
                        <w:color w:val="FF0000"/>
                        <w:sz w:val="24"/>
                      </w:rPr>
                      <w:instrText xml:space="preserve"> DOCPROPERTY PM_ProtectiveMarkingValue_Footer \* MERGEFORMAT </w:instrText>
                    </w:r>
                    <w:r w:rsidRPr="00B77F3A">
                      <w:rPr>
                        <w:b/>
                        <w:color w:val="FF0000"/>
                        <w:sz w:val="24"/>
                      </w:rPr>
                      <w:fldChar w:fldCharType="separate"/>
                    </w:r>
                    <w:r>
                      <w:rPr>
                        <w:b/>
                        <w:color w:val="FF0000"/>
                        <w:sz w:val="24"/>
                      </w:rPr>
                      <w:t>OFFICIAL</w:t>
                    </w:r>
                    <w:r w:rsidRPr="00B77F3A">
                      <w:rPr>
                        <w:b/>
                        <w:color w:val="FF0000"/>
                        <w:sz w:val="24"/>
                      </w:rPr>
                      <w:fldChar w:fldCharType="end"/>
                    </w:r>
                  </w:p>
                </w:txbxContent>
              </v:textbox>
              <w10:wrap anchorx="margin" anchory="margin"/>
              <w10:anchorlock/>
            </v:shape>
          </w:pict>
        </mc:Fallback>
      </mc:AlternateContent>
    </w:r>
    <w:r w:rsidR="004D420D">
      <w:rPr>
        <w:noProof/>
      </w:rPr>
      <mc:AlternateContent>
        <mc:Choice Requires="wps">
          <w:drawing>
            <wp:anchor distT="0" distB="0" distL="114300" distR="114300" simplePos="0" relativeHeight="251658267" behindDoc="0" locked="1" layoutInCell="0" allowOverlap="1" wp14:anchorId="764B8A0C" wp14:editId="73E6AAC1">
              <wp:simplePos x="0" y="0"/>
              <wp:positionH relativeFrom="margin">
                <wp:align>center</wp:align>
              </wp:positionH>
              <wp:positionV relativeFrom="bottomMargin">
                <wp:align>center</wp:align>
              </wp:positionV>
              <wp:extent cx="892175" cy="2730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984D0C" w14:textId="79CBEA55" w:rsidR="004D420D" w:rsidRPr="004D420D" w:rsidRDefault="004D420D" w:rsidP="004D420D">
                          <w:pPr>
                            <w:jc w:val="center"/>
                            <w:rPr>
                              <w:b/>
                              <w:color w:val="FF0000"/>
                              <w:sz w:val="24"/>
                            </w:rPr>
                          </w:pPr>
                          <w:r w:rsidRPr="004D420D">
                            <w:rPr>
                              <w:b/>
                              <w:color w:val="FF0000"/>
                              <w:sz w:val="24"/>
                            </w:rPr>
                            <w:fldChar w:fldCharType="begin"/>
                          </w:r>
                          <w:r w:rsidRPr="004D420D">
                            <w:rPr>
                              <w:b/>
                              <w:color w:val="FF0000"/>
                              <w:sz w:val="24"/>
                            </w:rPr>
                            <w:instrText xml:space="preserve"> DOCPROPERTY PM_ProtectiveMarkingValue_Footer \* MERGEFORMAT </w:instrText>
                          </w:r>
                          <w:r w:rsidRPr="004D420D">
                            <w:rPr>
                              <w:b/>
                              <w:color w:val="FF0000"/>
                              <w:sz w:val="24"/>
                            </w:rPr>
                            <w:fldChar w:fldCharType="separate"/>
                          </w:r>
                          <w:r w:rsidR="00B77F3A">
                            <w:rPr>
                              <w:b/>
                              <w:color w:val="FF0000"/>
                              <w:sz w:val="24"/>
                            </w:rPr>
                            <w:t>OFFICIAL</w:t>
                          </w:r>
                          <w:r w:rsidRPr="004D420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4B8A0C" id="Text Box 30" o:spid="_x0000_s1034" type="#_x0000_t202" style="position:absolute;left:0;text-align:left;margin-left:0;margin-top:0;width:70.25pt;height:21.5pt;z-index:25165826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Mh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f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LrWMhGQIAADAEAAAOAAAAAAAAAAAAAAAAAC4CAABkcnMvZTJvRG9jLnhtbFBLAQItABQABgAI&#10;AAAAIQBpOk852wAAAAQBAAAPAAAAAAAAAAAAAAAAAHMEAABkcnMvZG93bnJldi54bWxQSwUGAAAA&#10;AAQABADzAAAAewUAAAAA&#10;" o:allowincell="f" filled="f" stroked="f" strokeweight=".5pt">
              <v:textbox style="mso-fit-shape-to-text:t">
                <w:txbxContent>
                  <w:p w14:paraId="0E984D0C" w14:textId="79CBEA55" w:rsidR="004D420D" w:rsidRPr="004D420D" w:rsidRDefault="004D420D" w:rsidP="004D420D">
                    <w:pPr>
                      <w:jc w:val="center"/>
                      <w:rPr>
                        <w:b/>
                        <w:color w:val="FF0000"/>
                        <w:sz w:val="24"/>
                      </w:rPr>
                    </w:pPr>
                    <w:r w:rsidRPr="004D420D">
                      <w:rPr>
                        <w:b/>
                        <w:color w:val="FF0000"/>
                        <w:sz w:val="24"/>
                      </w:rPr>
                      <w:fldChar w:fldCharType="begin"/>
                    </w:r>
                    <w:r w:rsidRPr="004D420D">
                      <w:rPr>
                        <w:b/>
                        <w:color w:val="FF0000"/>
                        <w:sz w:val="24"/>
                      </w:rPr>
                      <w:instrText xml:space="preserve"> DOCPROPERTY PM_ProtectiveMarkingValue_Footer \* MERGEFORMAT </w:instrText>
                    </w:r>
                    <w:r w:rsidRPr="004D420D">
                      <w:rPr>
                        <w:b/>
                        <w:color w:val="FF0000"/>
                        <w:sz w:val="24"/>
                      </w:rPr>
                      <w:fldChar w:fldCharType="separate"/>
                    </w:r>
                    <w:r w:rsidR="00B77F3A">
                      <w:rPr>
                        <w:b/>
                        <w:color w:val="FF0000"/>
                        <w:sz w:val="24"/>
                      </w:rPr>
                      <w:t>OFFICIAL</w:t>
                    </w:r>
                    <w:r w:rsidRPr="004D420D">
                      <w:rPr>
                        <w:b/>
                        <w:color w:val="FF0000"/>
                        <w:sz w:val="24"/>
                      </w:rPr>
                      <w:fldChar w:fldCharType="end"/>
                    </w:r>
                  </w:p>
                </w:txbxContent>
              </v:textbox>
              <w10:wrap anchorx="margin" anchory="margin"/>
              <w10:anchorlock/>
            </v:shape>
          </w:pict>
        </mc:Fallback>
      </mc:AlternateContent>
    </w:r>
    <w:r w:rsidR="00427BD7">
      <w:rPr>
        <w:noProof/>
      </w:rPr>
      <mc:AlternateContent>
        <mc:Choice Requires="wps">
          <w:drawing>
            <wp:anchor distT="0" distB="0" distL="114300" distR="114300" simplePos="0" relativeHeight="251658261" behindDoc="0" locked="1" layoutInCell="0" allowOverlap="1" wp14:anchorId="04B71A7B" wp14:editId="40F5464B">
              <wp:simplePos x="0" y="0"/>
              <wp:positionH relativeFrom="margin">
                <wp:align>center</wp:align>
              </wp:positionH>
              <wp:positionV relativeFrom="bottomMargin">
                <wp:align>center</wp:align>
              </wp:positionV>
              <wp:extent cx="892175" cy="273050"/>
              <wp:effectExtent l="0" t="0" r="22225" b="12700"/>
              <wp:wrapNone/>
              <wp:docPr id="24" name="Text Box 24"/>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01112AE7" w14:textId="09656E2B" w:rsidR="00427BD7" w:rsidRPr="00427BD7" w:rsidRDefault="00427BD7" w:rsidP="00427BD7">
                          <w:pPr>
                            <w:jc w:val="center"/>
                            <w:rPr>
                              <w:b/>
                              <w:color w:val="FF0000"/>
                              <w:sz w:val="24"/>
                            </w:rPr>
                          </w:pPr>
                          <w:r w:rsidRPr="00427BD7">
                            <w:rPr>
                              <w:b/>
                              <w:color w:val="FF0000"/>
                              <w:sz w:val="24"/>
                            </w:rPr>
                            <w:fldChar w:fldCharType="begin"/>
                          </w:r>
                          <w:r w:rsidRPr="00427BD7">
                            <w:rPr>
                              <w:b/>
                              <w:color w:val="FF0000"/>
                              <w:sz w:val="24"/>
                            </w:rPr>
                            <w:instrText xml:space="preserve"> DOCPROPERTY PM_ProtectiveMarkingValue_Footer \* MERGEFORMAT </w:instrText>
                          </w:r>
                          <w:r w:rsidRPr="00427BD7">
                            <w:rPr>
                              <w:b/>
                              <w:color w:val="FF0000"/>
                              <w:sz w:val="24"/>
                            </w:rPr>
                            <w:fldChar w:fldCharType="separate"/>
                          </w:r>
                          <w:r w:rsidR="00B77F3A">
                            <w:rPr>
                              <w:b/>
                              <w:color w:val="FF0000"/>
                              <w:sz w:val="24"/>
                            </w:rPr>
                            <w:t>OFFICIAL</w:t>
                          </w:r>
                          <w:r w:rsidRPr="00427BD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B71A7B" id="Text Box 24" o:spid="_x0000_s1035" type="#_x0000_t202" style="position:absolute;left:0;text-align:left;margin-left:0;margin-top:0;width:70.25pt;height:21.5pt;z-index:25165826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" o:allowincell="f" filled="f" strokeweight=".5pt">
              <v:textbox style="mso-fit-shape-to-text:t">
                <w:txbxContent>
                  <w:p w14:paraId="01112AE7" w14:textId="09656E2B" w:rsidR="00427BD7" w:rsidRPr="00427BD7" w:rsidRDefault="00427BD7" w:rsidP="00427BD7">
                    <w:pPr>
                      <w:jc w:val="center"/>
                      <w:rPr>
                        <w:b/>
                        <w:color w:val="FF0000"/>
                        <w:sz w:val="24"/>
                      </w:rPr>
                    </w:pPr>
                    <w:r w:rsidRPr="00427BD7">
                      <w:rPr>
                        <w:b/>
                        <w:color w:val="FF0000"/>
                        <w:sz w:val="24"/>
                      </w:rPr>
                      <w:fldChar w:fldCharType="begin"/>
                    </w:r>
                    <w:r w:rsidRPr="00427BD7">
                      <w:rPr>
                        <w:b/>
                        <w:color w:val="FF0000"/>
                        <w:sz w:val="24"/>
                      </w:rPr>
                      <w:instrText xml:space="preserve"> DOCPROPERTY PM_ProtectiveMarkingValue_Footer \* MERGEFORMAT </w:instrText>
                    </w:r>
                    <w:r w:rsidRPr="00427BD7">
                      <w:rPr>
                        <w:b/>
                        <w:color w:val="FF0000"/>
                        <w:sz w:val="24"/>
                      </w:rPr>
                      <w:fldChar w:fldCharType="separate"/>
                    </w:r>
                    <w:r w:rsidR="00B77F3A">
                      <w:rPr>
                        <w:b/>
                        <w:color w:val="FF0000"/>
                        <w:sz w:val="24"/>
                      </w:rPr>
                      <w:t>OFFICIAL</w:t>
                    </w:r>
                    <w:r w:rsidRPr="00427BD7">
                      <w:rPr>
                        <w:b/>
                        <w:color w:val="FF0000"/>
                        <w:sz w:val="24"/>
                      </w:rPr>
                      <w:fldChar w:fldCharType="end"/>
                    </w:r>
                  </w:p>
                </w:txbxContent>
              </v:textbox>
              <w10:wrap anchorx="margin" anchory="margin"/>
              <w10:anchorlock/>
            </v:shape>
          </w:pict>
        </mc:Fallback>
      </mc:AlternateContent>
    </w:r>
    <w:r w:rsidR="00221C5B">
      <w:rPr>
        <w:noProof/>
      </w:rPr>
      <mc:AlternateContent>
        <mc:Choice Requires="wps">
          <w:drawing>
            <wp:anchor distT="0" distB="0" distL="114300" distR="114300" simplePos="0" relativeHeight="251658255" behindDoc="0" locked="1" layoutInCell="0" allowOverlap="1" wp14:anchorId="07FB3F9E" wp14:editId="23A519E7">
              <wp:simplePos x="0" y="0"/>
              <wp:positionH relativeFrom="margin">
                <wp:align>center</wp:align>
              </wp:positionH>
              <wp:positionV relativeFrom="bottomMargin">
                <wp:align>center</wp:align>
              </wp:positionV>
              <wp:extent cx="892175" cy="2730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E94367" w14:textId="1E33F60F" w:rsidR="00221C5B" w:rsidRPr="00221C5B" w:rsidRDefault="00221C5B" w:rsidP="00221C5B">
                          <w:pPr>
                            <w:jc w:val="center"/>
                            <w:rPr>
                              <w:b/>
                              <w:color w:val="FF0000"/>
                              <w:sz w:val="24"/>
                            </w:rPr>
                          </w:pPr>
                          <w:r w:rsidRPr="00221C5B">
                            <w:rPr>
                              <w:b/>
                              <w:color w:val="FF0000"/>
                              <w:sz w:val="24"/>
                            </w:rPr>
                            <w:fldChar w:fldCharType="begin"/>
                          </w:r>
                          <w:r w:rsidRPr="00221C5B">
                            <w:rPr>
                              <w:b/>
                              <w:color w:val="FF0000"/>
                              <w:sz w:val="24"/>
                            </w:rPr>
                            <w:instrText xml:space="preserve"> DOCPROPERTY PM_ProtectiveMarkingValue_Footer \* MERGEFORMAT </w:instrText>
                          </w:r>
                          <w:r w:rsidRPr="00221C5B">
                            <w:rPr>
                              <w:b/>
                              <w:color w:val="FF0000"/>
                              <w:sz w:val="24"/>
                            </w:rPr>
                            <w:fldChar w:fldCharType="separate"/>
                          </w:r>
                          <w:r w:rsidR="00B77F3A">
                            <w:rPr>
                              <w:b/>
                              <w:color w:val="FF0000"/>
                              <w:sz w:val="24"/>
                            </w:rPr>
                            <w:t>OFFICIAL</w:t>
                          </w:r>
                          <w:r w:rsidRPr="00221C5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FB3F9E" id="Text Box 18" o:spid="_x0000_s1036" type="#_x0000_t202" style="position:absolute;left:0;text-align:left;margin-left:0;margin-top:0;width:70.25pt;height:21.5pt;z-index:25165825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d3D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ch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y4d3DGQIAADAEAAAOAAAAAAAAAAAAAAAAAC4CAABkcnMvZTJvRG9jLnhtbFBLAQItABQABgAI&#10;AAAAIQBpOk852wAAAAQBAAAPAAAAAAAAAAAAAAAAAHMEAABkcnMvZG93bnJldi54bWxQSwUGAAAA&#10;AAQABADzAAAAewUAAAAA&#10;" o:allowincell="f" filled="f" stroked="f" strokeweight=".5pt">
              <v:textbox style="mso-fit-shape-to-text:t">
                <w:txbxContent>
                  <w:p w14:paraId="5EE94367" w14:textId="1E33F60F" w:rsidR="00221C5B" w:rsidRPr="00221C5B" w:rsidRDefault="00221C5B" w:rsidP="00221C5B">
                    <w:pPr>
                      <w:jc w:val="center"/>
                      <w:rPr>
                        <w:b/>
                        <w:color w:val="FF0000"/>
                        <w:sz w:val="24"/>
                      </w:rPr>
                    </w:pPr>
                    <w:r w:rsidRPr="00221C5B">
                      <w:rPr>
                        <w:b/>
                        <w:color w:val="FF0000"/>
                        <w:sz w:val="24"/>
                      </w:rPr>
                      <w:fldChar w:fldCharType="begin"/>
                    </w:r>
                    <w:r w:rsidRPr="00221C5B">
                      <w:rPr>
                        <w:b/>
                        <w:color w:val="FF0000"/>
                        <w:sz w:val="24"/>
                      </w:rPr>
                      <w:instrText xml:space="preserve"> DOCPROPERTY PM_ProtectiveMarkingValue_Footer \* MERGEFORMAT </w:instrText>
                    </w:r>
                    <w:r w:rsidRPr="00221C5B">
                      <w:rPr>
                        <w:b/>
                        <w:color w:val="FF0000"/>
                        <w:sz w:val="24"/>
                      </w:rPr>
                      <w:fldChar w:fldCharType="separate"/>
                    </w:r>
                    <w:r w:rsidR="00B77F3A">
                      <w:rPr>
                        <w:b/>
                        <w:color w:val="FF0000"/>
                        <w:sz w:val="24"/>
                      </w:rPr>
                      <w:t>OFFICIAL</w:t>
                    </w:r>
                    <w:r w:rsidRPr="00221C5B">
                      <w:rPr>
                        <w:b/>
                        <w:color w:val="FF0000"/>
                        <w:sz w:val="24"/>
                      </w:rPr>
                      <w:fldChar w:fldCharType="end"/>
                    </w:r>
                  </w:p>
                </w:txbxContent>
              </v:textbox>
              <w10:wrap anchorx="margin" anchory="margin"/>
              <w10:anchorlock/>
            </v:shape>
          </w:pict>
        </mc:Fallback>
      </mc:AlternateContent>
    </w:r>
    <w:r w:rsidR="0000155C">
      <w:rPr>
        <w:noProof/>
      </w:rPr>
      <mc:AlternateContent>
        <mc:Choice Requires="wps">
          <w:drawing>
            <wp:anchor distT="0" distB="0" distL="114300" distR="114300" simplePos="0" relativeHeight="251658247" behindDoc="0" locked="1" layoutInCell="0" allowOverlap="1" wp14:anchorId="63A16956" wp14:editId="37001C34">
              <wp:simplePos x="0" y="0"/>
              <wp:positionH relativeFrom="margin">
                <wp:align>center</wp:align>
              </wp:positionH>
              <wp:positionV relativeFrom="bottomMargin">
                <wp:align>center</wp:align>
              </wp:positionV>
              <wp:extent cx="892175" cy="2730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5F7ABF" w14:textId="448FCA4C" w:rsidR="0000155C" w:rsidRPr="0000155C" w:rsidRDefault="0000155C" w:rsidP="0000155C">
                          <w:pPr>
                            <w:jc w:val="center"/>
                            <w:rPr>
                              <w:b/>
                              <w:color w:val="FF0000"/>
                              <w:sz w:val="24"/>
                            </w:rPr>
                          </w:pPr>
                          <w:r w:rsidRPr="0000155C">
                            <w:rPr>
                              <w:b/>
                              <w:color w:val="FF0000"/>
                              <w:sz w:val="24"/>
                            </w:rPr>
                            <w:fldChar w:fldCharType="begin"/>
                          </w:r>
                          <w:r w:rsidRPr="0000155C">
                            <w:rPr>
                              <w:b/>
                              <w:color w:val="FF0000"/>
                              <w:sz w:val="24"/>
                            </w:rPr>
                            <w:instrText xml:space="preserve"> DOCPROPERTY PM_ProtectiveMarkingValue_Footer \* MERGEFORMAT </w:instrText>
                          </w:r>
                          <w:r w:rsidRPr="0000155C">
                            <w:rPr>
                              <w:b/>
                              <w:color w:val="FF0000"/>
                              <w:sz w:val="24"/>
                            </w:rPr>
                            <w:fldChar w:fldCharType="separate"/>
                          </w:r>
                          <w:r w:rsidR="00B77F3A">
                            <w:rPr>
                              <w:b/>
                              <w:color w:val="FF0000"/>
                              <w:sz w:val="24"/>
                            </w:rPr>
                            <w:t>OFFICIAL</w:t>
                          </w:r>
                          <w:r w:rsidRPr="0000155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A16956" id="Text Box 16" o:spid="_x0000_s1037" type="#_x0000_t202" style="position:absolute;left:0;text-align:left;margin-left:0;margin-top:0;width:70.25pt;height:21.5pt;z-index:25165824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f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HZ3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KKqkp8YAgAAMAQAAA4AAAAAAAAAAAAAAAAALgIAAGRycy9lMm9Eb2MueG1sUEsBAi0AFAAGAAgA&#10;AAAhAGk6TznbAAAABAEAAA8AAAAAAAAAAAAAAAAAcgQAAGRycy9kb3ducmV2LnhtbFBLBQYAAAAA&#10;BAAEAPMAAAB6BQAAAAA=&#10;" o:allowincell="f" filled="f" stroked="f" strokeweight=".5pt">
              <v:textbox style="mso-fit-shape-to-text:t">
                <w:txbxContent>
                  <w:p w14:paraId="3D5F7ABF" w14:textId="448FCA4C" w:rsidR="0000155C" w:rsidRPr="0000155C" w:rsidRDefault="0000155C" w:rsidP="0000155C">
                    <w:pPr>
                      <w:jc w:val="center"/>
                      <w:rPr>
                        <w:b/>
                        <w:color w:val="FF0000"/>
                        <w:sz w:val="24"/>
                      </w:rPr>
                    </w:pPr>
                    <w:r w:rsidRPr="0000155C">
                      <w:rPr>
                        <w:b/>
                        <w:color w:val="FF0000"/>
                        <w:sz w:val="24"/>
                      </w:rPr>
                      <w:fldChar w:fldCharType="begin"/>
                    </w:r>
                    <w:r w:rsidRPr="0000155C">
                      <w:rPr>
                        <w:b/>
                        <w:color w:val="FF0000"/>
                        <w:sz w:val="24"/>
                      </w:rPr>
                      <w:instrText xml:space="preserve"> DOCPROPERTY PM_ProtectiveMarkingValue_Footer \* MERGEFORMAT </w:instrText>
                    </w:r>
                    <w:r w:rsidRPr="0000155C">
                      <w:rPr>
                        <w:b/>
                        <w:color w:val="FF0000"/>
                        <w:sz w:val="24"/>
                      </w:rPr>
                      <w:fldChar w:fldCharType="separate"/>
                    </w:r>
                    <w:r w:rsidR="00B77F3A">
                      <w:rPr>
                        <w:b/>
                        <w:color w:val="FF0000"/>
                        <w:sz w:val="24"/>
                      </w:rPr>
                      <w:t>OFFICIAL</w:t>
                    </w:r>
                    <w:r w:rsidRPr="0000155C">
                      <w:rPr>
                        <w:b/>
                        <w:color w:val="FF0000"/>
                        <w:sz w:val="24"/>
                      </w:rPr>
                      <w:fldChar w:fldCharType="end"/>
                    </w:r>
                  </w:p>
                </w:txbxContent>
              </v:textbox>
              <w10:wrap anchorx="margin" anchory="margin"/>
              <w10:anchorlock/>
            </v:shape>
          </w:pict>
        </mc:Fallback>
      </mc:AlternateContent>
    </w:r>
    <w:r w:rsidR="00104C55">
      <w:rPr>
        <w:noProof/>
      </w:rPr>
      <mc:AlternateContent>
        <mc:Choice Requires="wps">
          <w:drawing>
            <wp:anchor distT="0" distB="0" distL="114300" distR="114300" simplePos="0" relativeHeight="251658243" behindDoc="0" locked="1" layoutInCell="0" allowOverlap="1" wp14:anchorId="09371D19" wp14:editId="1FBA3238">
              <wp:simplePos x="0" y="0"/>
              <wp:positionH relativeFrom="margin">
                <wp:align>center</wp:align>
              </wp:positionH>
              <wp:positionV relativeFrom="bottomMargin">
                <wp:align>center</wp:align>
              </wp:positionV>
              <wp:extent cx="892175" cy="273050"/>
              <wp:effectExtent l="0" t="0" r="0" b="0"/>
              <wp:wrapNone/>
              <wp:docPr id="9" name="Text Box 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BB4AA" w14:textId="3D8F0122" w:rsidR="00104C55" w:rsidRPr="00E034B8" w:rsidRDefault="00104C55" w:rsidP="00E034B8">
                          <w:pPr>
                            <w:jc w:val="center"/>
                            <w:rPr>
                              <w:b/>
                              <w:color w:val="FF0000"/>
                              <w:sz w:val="24"/>
                            </w:rPr>
                          </w:pPr>
                          <w:r w:rsidRPr="00E034B8">
                            <w:rPr>
                              <w:b/>
                              <w:color w:val="FF0000"/>
                              <w:sz w:val="24"/>
                            </w:rPr>
                            <w:fldChar w:fldCharType="begin"/>
                          </w:r>
                          <w:r w:rsidRPr="00E034B8">
                            <w:rPr>
                              <w:b/>
                              <w:color w:val="FF0000"/>
                              <w:sz w:val="24"/>
                            </w:rPr>
                            <w:instrText xml:space="preserve"> DOCPROPERTY PM_ProtectiveMarkingValue_Footer \* MERGEFORMAT </w:instrText>
                          </w:r>
                          <w:r w:rsidRPr="00E034B8">
                            <w:rPr>
                              <w:b/>
                              <w:color w:val="FF0000"/>
                              <w:sz w:val="24"/>
                            </w:rPr>
                            <w:fldChar w:fldCharType="separate"/>
                          </w:r>
                          <w:r w:rsidR="00B77F3A">
                            <w:rPr>
                              <w:b/>
                              <w:color w:val="FF0000"/>
                              <w:sz w:val="24"/>
                            </w:rPr>
                            <w:t>OFFICIAL</w:t>
                          </w:r>
                          <w:r w:rsidRPr="00E034B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371D19" id="Text Box 9" o:spid="_x0000_s1038" type="#_x0000_t202" style="position:absolute;left:0;text-align:left;margin-left:0;margin-top:0;width:70.25pt;height:21.5pt;z-index:25165824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CeD3UDGQIAADAEAAAOAAAAAAAAAAAAAAAAAC4CAABkcnMvZTJvRG9jLnhtbFBLAQItABQABgAI&#10;AAAAIQBpOk852wAAAAQBAAAPAAAAAAAAAAAAAAAAAHMEAABkcnMvZG93bnJldi54bWxQSwUGAAAA&#10;AAQABADzAAAAewUAAAAA&#10;" o:allowincell="f" filled="f" stroked="f" strokeweight=".5pt">
              <v:textbox style="mso-fit-shape-to-text:t">
                <w:txbxContent>
                  <w:p w14:paraId="049BB4AA" w14:textId="3D8F0122" w:rsidR="00104C55" w:rsidRPr="00E034B8" w:rsidRDefault="00104C55" w:rsidP="00E034B8">
                    <w:pPr>
                      <w:jc w:val="center"/>
                      <w:rPr>
                        <w:b/>
                        <w:color w:val="FF0000"/>
                        <w:sz w:val="24"/>
                      </w:rPr>
                    </w:pPr>
                    <w:r w:rsidRPr="00E034B8">
                      <w:rPr>
                        <w:b/>
                        <w:color w:val="FF0000"/>
                        <w:sz w:val="24"/>
                      </w:rPr>
                      <w:fldChar w:fldCharType="begin"/>
                    </w:r>
                    <w:r w:rsidRPr="00E034B8">
                      <w:rPr>
                        <w:b/>
                        <w:color w:val="FF0000"/>
                        <w:sz w:val="24"/>
                      </w:rPr>
                      <w:instrText xml:space="preserve"> DOCPROPERTY PM_ProtectiveMarkingValue_Footer \* MERGEFORMAT </w:instrText>
                    </w:r>
                    <w:r w:rsidRPr="00E034B8">
                      <w:rPr>
                        <w:b/>
                        <w:color w:val="FF0000"/>
                        <w:sz w:val="24"/>
                      </w:rPr>
                      <w:fldChar w:fldCharType="separate"/>
                    </w:r>
                    <w:r w:rsidR="00B77F3A">
                      <w:rPr>
                        <w:b/>
                        <w:color w:val="FF0000"/>
                        <w:sz w:val="24"/>
                      </w:rPr>
                      <w:t>OFFICIAL</w:t>
                    </w:r>
                    <w:r w:rsidRPr="00E034B8">
                      <w:rPr>
                        <w:b/>
                        <w:color w:val="FF0000"/>
                        <w:sz w:val="24"/>
                      </w:rPr>
                      <w:fldChar w:fldCharType="end"/>
                    </w:r>
                  </w:p>
                </w:txbxContent>
              </v:textbox>
              <w10:wrap anchorx="margin" anchory="margin"/>
              <w10:anchorlock/>
            </v:shape>
          </w:pict>
        </mc:Fallback>
      </mc:AlternateContent>
    </w:r>
    <w:r w:rsidR="00244B01">
      <w:rPr>
        <w:rStyle w:val="PageNumber"/>
      </w:rPr>
      <w:fldChar w:fldCharType="begin" w:fldLock="1"/>
    </w:r>
    <w:r w:rsidR="00244B01">
      <w:rPr>
        <w:rStyle w:val="PageNumber"/>
      </w:rPr>
      <w:instrText xml:space="preserve"> DOCPROPERTY bjFooterEvenPageDocProperty \* MERGEFORMAT </w:instrText>
    </w:r>
    <w:r w:rsidR="00244B01">
      <w:rPr>
        <w:rStyle w:val="PageNumber"/>
      </w:rPr>
      <w:fldChar w:fldCharType="separate"/>
    </w:r>
  </w:p>
  <w:p w14:paraId="2085F588" w14:textId="77777777" w:rsidR="00244B01" w:rsidRDefault="00244B01" w:rsidP="00DE1BD0">
    <w:pPr>
      <w:pStyle w:val="Footer"/>
      <w:framePr w:wrap="around" w:vAnchor="text" w:hAnchor="margin" w:xAlign="center" w:y="1"/>
      <w:jc w:val="center"/>
      <w:rPr>
        <w:rStyle w:val="PageNumber"/>
      </w:rPr>
    </w:pPr>
    <w:r w:rsidRPr="00DE1BD0">
      <w:rPr>
        <w:rStyle w:val="PageNumber"/>
        <w:rFonts w:ascii="Calibri" w:hAnsi="Calibri" w:cs="Calibri"/>
        <w:b/>
        <w:color w:val="F00000"/>
        <w:sz w:val="24"/>
      </w:rPr>
      <w:t>OFFICIAL</w:t>
    </w:r>
    <w:r>
      <w:rPr>
        <w:rStyle w:val="PageNumber"/>
      </w:rPr>
      <w:t xml:space="preserve"> </w:t>
    </w:r>
    <w:r>
      <w:rPr>
        <w:rStyle w:val="PageNumber"/>
      </w:rPr>
      <w:fldChar w:fldCharType="end"/>
    </w:r>
    <w:r>
      <w:rPr>
        <w:rStyle w:val="PageNumber"/>
      </w:rPr>
      <w:fldChar w:fldCharType="begin"/>
    </w:r>
    <w:r>
      <w:rPr>
        <w:rStyle w:val="PageNumber"/>
      </w:rPr>
      <w:instrText xml:space="preserve">PAGE  </w:instrText>
    </w:r>
    <w:r>
      <w:rPr>
        <w:rStyle w:val="PageNumber"/>
      </w:rPr>
      <w:fldChar w:fldCharType="end"/>
    </w:r>
  </w:p>
  <w:p w14:paraId="4E293341" w14:textId="77777777" w:rsidR="00244B01" w:rsidRDefault="00244B01" w:rsidP="00DE1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4C7A" w14:textId="418ACD4D" w:rsidR="0048795A" w:rsidRDefault="00B77F3A">
    <w:pPr>
      <w:pStyle w:val="Footer"/>
      <w:jc w:val="center"/>
    </w:pPr>
    <w:r>
      <w:rPr>
        <w:noProof/>
      </w:rPr>
      <mc:AlternateContent>
        <mc:Choice Requires="wps">
          <w:drawing>
            <wp:anchor distT="0" distB="0" distL="114300" distR="114300" simplePos="0" relativeHeight="251662363" behindDoc="0" locked="1" layoutInCell="0" allowOverlap="1" wp14:anchorId="04F2E49C" wp14:editId="2BE3F4BE">
              <wp:simplePos x="0" y="0"/>
              <wp:positionH relativeFrom="margin">
                <wp:align>center</wp:align>
              </wp:positionH>
              <wp:positionV relativeFrom="bottomMargin">
                <wp:align>center</wp:align>
              </wp:positionV>
              <wp:extent cx="892175" cy="273050"/>
              <wp:effectExtent l="0" t="0" r="0" b="0"/>
              <wp:wrapNone/>
              <wp:docPr id="10"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8CB9BB" w14:textId="65B82DC5" w:rsidR="00B77F3A" w:rsidRPr="00B77F3A" w:rsidRDefault="00B77F3A" w:rsidP="00B77F3A">
                          <w:pPr>
                            <w:jc w:val="center"/>
                            <w:rPr>
                              <w:b/>
                              <w:color w:val="FF0000"/>
                              <w:sz w:val="24"/>
                            </w:rPr>
                          </w:pPr>
                          <w:r w:rsidRPr="00B77F3A">
                            <w:rPr>
                              <w:b/>
                              <w:color w:val="FF0000"/>
                              <w:sz w:val="24"/>
                            </w:rPr>
                            <w:fldChar w:fldCharType="begin"/>
                          </w:r>
                          <w:r w:rsidRPr="00B77F3A">
                            <w:rPr>
                              <w:b/>
                              <w:color w:val="FF0000"/>
                              <w:sz w:val="24"/>
                            </w:rPr>
                            <w:instrText xml:space="preserve"> DOCPROPERTY PM_ProtectiveMarkingValue_Footer \* MERGEFORMAT </w:instrText>
                          </w:r>
                          <w:r w:rsidRPr="00B77F3A">
                            <w:rPr>
                              <w:b/>
                              <w:color w:val="FF0000"/>
                              <w:sz w:val="24"/>
                            </w:rPr>
                            <w:fldChar w:fldCharType="separate"/>
                          </w:r>
                          <w:r>
                            <w:rPr>
                              <w:b/>
                              <w:color w:val="FF0000"/>
                              <w:sz w:val="24"/>
                            </w:rPr>
                            <w:t>OFFICIAL</w:t>
                          </w:r>
                          <w:r w:rsidRPr="00B77F3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F2E49C" id="_x0000_t202" coordsize="21600,21600" o:spt="202" path="m,l,21600r21600,l21600,xe">
              <v:stroke joinstyle="miter"/>
              <v:path gradientshapeok="t" o:connecttype="rect"/>
            </v:shapetype>
            <v:shape id="janusSEAL SC Footer" o:spid="_x0000_s1039" type="#_x0000_t202" style="position:absolute;left:0;text-align:left;margin-left:0;margin-top:0;width:70.25pt;height:21.5pt;z-index:25166236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gGAIAADE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djE5zrCnfYzxLB+adkcsKTTwJ&#10;51+FBdWYCPL1L1iKmlCMjhZnJdmff7sP8WAAXs5aSCfjGtrmrP6uwczdYDwOSouH8WQ6xMFee9bX&#10;Hr1tHgjaHOCbGBnNEO/rk1lYat6h8UWoCZfQEpUz7k/mgz/IGX9EqsUiBkFbRvgnvTIypA7QBYDf&#10;undhzZEFD/qe6SQxkX4g4xAbXjqz2HpQEpkKMB8wPaIPXUYCj38oCP/6HKMuP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D9Za6AYAgAAMQQAAA4AAAAAAAAAAAAAAAAALgIAAGRycy9lMm9Eb2MueG1sUEsBAi0AFAAGAAgA&#10;AAAhAGk6TznbAAAABAEAAA8AAAAAAAAAAAAAAAAAcgQAAGRycy9kb3ducmV2LnhtbFBLBQYAAAAA&#10;BAAEAPMAAAB6BQAAAAA=&#10;" o:allowincell="f" filled="f" stroked="f" strokeweight=".5pt">
              <v:fill o:detectmouseclick="t"/>
              <v:textbox style="mso-fit-shape-to-text:t">
                <w:txbxContent>
                  <w:p w14:paraId="098CB9BB" w14:textId="65B82DC5" w:rsidR="00B77F3A" w:rsidRPr="00B77F3A" w:rsidRDefault="00B77F3A" w:rsidP="00B77F3A">
                    <w:pPr>
                      <w:jc w:val="center"/>
                      <w:rPr>
                        <w:b/>
                        <w:color w:val="FF0000"/>
                        <w:sz w:val="24"/>
                      </w:rPr>
                    </w:pPr>
                    <w:r w:rsidRPr="00B77F3A">
                      <w:rPr>
                        <w:b/>
                        <w:color w:val="FF0000"/>
                        <w:sz w:val="24"/>
                      </w:rPr>
                      <w:fldChar w:fldCharType="begin"/>
                    </w:r>
                    <w:r w:rsidRPr="00B77F3A">
                      <w:rPr>
                        <w:b/>
                        <w:color w:val="FF0000"/>
                        <w:sz w:val="24"/>
                      </w:rPr>
                      <w:instrText xml:space="preserve"> DOCPROPERTY PM_ProtectiveMarkingValue_Footer \* MERGEFORMAT </w:instrText>
                    </w:r>
                    <w:r w:rsidRPr="00B77F3A">
                      <w:rPr>
                        <w:b/>
                        <w:color w:val="FF0000"/>
                        <w:sz w:val="24"/>
                      </w:rPr>
                      <w:fldChar w:fldCharType="separate"/>
                    </w:r>
                    <w:r>
                      <w:rPr>
                        <w:b/>
                        <w:color w:val="FF0000"/>
                        <w:sz w:val="24"/>
                      </w:rPr>
                      <w:t>OFFICIAL</w:t>
                    </w:r>
                    <w:r w:rsidRPr="00B77F3A">
                      <w:rPr>
                        <w:b/>
                        <w:color w:val="FF0000"/>
                        <w:sz w:val="24"/>
                      </w:rPr>
                      <w:fldChar w:fldCharType="end"/>
                    </w:r>
                  </w:p>
                </w:txbxContent>
              </v:textbox>
              <w10:wrap anchorx="margin" anchory="margin"/>
              <w10:anchorlock/>
            </v:shape>
          </w:pict>
        </mc:Fallback>
      </mc:AlternateContent>
    </w:r>
    <w:sdt>
      <w:sdtPr>
        <w:id w:val="-1948002769"/>
        <w:docPartObj>
          <w:docPartGallery w:val="Page Numbers (Bottom of Page)"/>
          <w:docPartUnique/>
        </w:docPartObj>
      </w:sdtPr>
      <w:sdtEndPr>
        <w:rPr>
          <w:noProof/>
        </w:rPr>
      </w:sdtEndPr>
      <w:sdtContent>
        <w:r w:rsidR="0048795A">
          <w:fldChar w:fldCharType="begin"/>
        </w:r>
        <w:r w:rsidR="0048795A">
          <w:instrText xml:space="preserve"> PAGE   \* MERGEFORMAT </w:instrText>
        </w:r>
        <w:r w:rsidR="0048795A">
          <w:fldChar w:fldCharType="separate"/>
        </w:r>
        <w:r w:rsidR="0048795A">
          <w:rPr>
            <w:noProof/>
          </w:rPr>
          <w:t>2</w:t>
        </w:r>
        <w:r w:rsidR="0048795A">
          <w:rPr>
            <w:noProof/>
          </w:rPr>
          <w:fldChar w:fldCharType="end"/>
        </w:r>
      </w:sdtContent>
    </w:sdt>
  </w:p>
  <w:p w14:paraId="3B749D99" w14:textId="00DD20A0" w:rsidR="00244B01" w:rsidRDefault="00244B01" w:rsidP="00DE1BD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223D" w14:textId="4A21219B" w:rsidR="00244B01" w:rsidRPr="00DE1BD0" w:rsidRDefault="00B77F3A" w:rsidP="00DE1BD0">
    <w:pPr>
      <w:pStyle w:val="Footer"/>
      <w:jc w:val="center"/>
      <w:rPr>
        <w:rFonts w:ascii="Calibri" w:hAnsi="Calibri" w:cs="Calibri"/>
        <w:b/>
        <w:color w:val="F00000"/>
        <w:sz w:val="24"/>
      </w:rPr>
    </w:pPr>
    <w:r>
      <w:rPr>
        <w:noProof/>
      </w:rPr>
      <mc:AlternateContent>
        <mc:Choice Requires="wps">
          <w:drawing>
            <wp:anchor distT="0" distB="0" distL="114300" distR="114300" simplePos="0" relativeHeight="251663387" behindDoc="0" locked="1" layoutInCell="0" allowOverlap="1" wp14:anchorId="7413157E" wp14:editId="650771B4">
              <wp:simplePos x="0" y="0"/>
              <wp:positionH relativeFrom="margin">
                <wp:align>center</wp:align>
              </wp:positionH>
              <wp:positionV relativeFrom="bottomMargin">
                <wp:align>center</wp:align>
              </wp:positionV>
              <wp:extent cx="892175" cy="273050"/>
              <wp:effectExtent l="0" t="0" r="0" b="0"/>
              <wp:wrapNone/>
              <wp:docPr id="14" name="janusSEAL SC F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8E6D1B" w14:textId="04D5EA12" w:rsidR="00B77F3A" w:rsidRPr="00B77F3A" w:rsidRDefault="00B77F3A" w:rsidP="00B77F3A">
                          <w:pPr>
                            <w:jc w:val="center"/>
                            <w:rPr>
                              <w:b/>
                              <w:color w:val="FF0000"/>
                              <w:sz w:val="24"/>
                            </w:rPr>
                          </w:pPr>
                          <w:r w:rsidRPr="00B77F3A">
                            <w:rPr>
                              <w:b/>
                              <w:color w:val="FF0000"/>
                              <w:sz w:val="24"/>
                            </w:rPr>
                            <w:fldChar w:fldCharType="begin"/>
                          </w:r>
                          <w:r w:rsidRPr="00B77F3A">
                            <w:rPr>
                              <w:b/>
                              <w:color w:val="FF0000"/>
                              <w:sz w:val="24"/>
                            </w:rPr>
                            <w:instrText xml:space="preserve"> DOCPROPERTY PM_ProtectiveMarkingValue_Footer \* MERGEFORMAT </w:instrText>
                          </w:r>
                          <w:r w:rsidRPr="00B77F3A">
                            <w:rPr>
                              <w:b/>
                              <w:color w:val="FF0000"/>
                              <w:sz w:val="24"/>
                            </w:rPr>
                            <w:fldChar w:fldCharType="separate"/>
                          </w:r>
                          <w:r>
                            <w:rPr>
                              <w:b/>
                              <w:color w:val="FF0000"/>
                              <w:sz w:val="24"/>
                            </w:rPr>
                            <w:t>OFFICIAL</w:t>
                          </w:r>
                          <w:r w:rsidRPr="00B77F3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413157E" id="_x0000_t202" coordsize="21600,21600" o:spt="202" path="m,l,21600r21600,l21600,xe">
              <v:stroke joinstyle="miter"/>
              <v:path gradientshapeok="t" o:connecttype="rect"/>
            </v:shapetype>
            <v:shape id="janusSEAL SC F_FirstPage" o:spid="_x0000_s1046" type="#_x0000_t202" style="position:absolute;left:0;text-align:left;margin-left:0;margin-top:0;width:70.25pt;height:21.5pt;z-index:251663387;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A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Y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JLj/AGQIAADEEAAAOAAAAAAAAAAAAAAAAAC4CAABkcnMvZTJvRG9jLnhtbFBLAQItABQABgAI&#10;AAAAIQBpOk852wAAAAQBAAAPAAAAAAAAAAAAAAAAAHMEAABkcnMvZG93bnJldi54bWxQSwUGAAAA&#10;AAQABADzAAAAewUAAAAA&#10;" o:allowincell="f" filled="f" stroked="f" strokeweight=".5pt">
              <v:fill o:detectmouseclick="t"/>
              <v:textbox style="mso-fit-shape-to-text:t">
                <w:txbxContent>
                  <w:p w14:paraId="298E6D1B" w14:textId="04D5EA12" w:rsidR="00B77F3A" w:rsidRPr="00B77F3A" w:rsidRDefault="00B77F3A" w:rsidP="00B77F3A">
                    <w:pPr>
                      <w:jc w:val="center"/>
                      <w:rPr>
                        <w:b/>
                        <w:color w:val="FF0000"/>
                        <w:sz w:val="24"/>
                      </w:rPr>
                    </w:pPr>
                    <w:r w:rsidRPr="00B77F3A">
                      <w:rPr>
                        <w:b/>
                        <w:color w:val="FF0000"/>
                        <w:sz w:val="24"/>
                      </w:rPr>
                      <w:fldChar w:fldCharType="begin"/>
                    </w:r>
                    <w:r w:rsidRPr="00B77F3A">
                      <w:rPr>
                        <w:b/>
                        <w:color w:val="FF0000"/>
                        <w:sz w:val="24"/>
                      </w:rPr>
                      <w:instrText xml:space="preserve"> DOCPROPERTY PM_ProtectiveMarkingValue_Footer \* MERGEFORMAT </w:instrText>
                    </w:r>
                    <w:r w:rsidRPr="00B77F3A">
                      <w:rPr>
                        <w:b/>
                        <w:color w:val="FF0000"/>
                        <w:sz w:val="24"/>
                      </w:rPr>
                      <w:fldChar w:fldCharType="separate"/>
                    </w:r>
                    <w:r>
                      <w:rPr>
                        <w:b/>
                        <w:color w:val="FF0000"/>
                        <w:sz w:val="24"/>
                      </w:rPr>
                      <w:t>OFFICIAL</w:t>
                    </w:r>
                    <w:r w:rsidRPr="00B77F3A">
                      <w:rPr>
                        <w:b/>
                        <w:color w:val="FF0000"/>
                        <w:sz w:val="24"/>
                      </w:rPr>
                      <w:fldChar w:fldCharType="end"/>
                    </w:r>
                  </w:p>
                </w:txbxContent>
              </v:textbox>
              <w10:wrap anchorx="margin" anchory="margin"/>
              <w10:anchorlock/>
            </v:shape>
          </w:pict>
        </mc:Fallback>
      </mc:AlternateContent>
    </w:r>
    <w:r w:rsidR="004D420D">
      <w:rPr>
        <w:noProof/>
      </w:rPr>
      <mc:AlternateContent>
        <mc:Choice Requires="wps">
          <w:drawing>
            <wp:anchor distT="0" distB="0" distL="114300" distR="114300" simplePos="0" relativeHeight="251658266" behindDoc="0" locked="1" layoutInCell="0" allowOverlap="1" wp14:anchorId="441AE2E1" wp14:editId="7E184C1F">
              <wp:simplePos x="0" y="0"/>
              <wp:positionH relativeFrom="margin">
                <wp:align>center</wp:align>
              </wp:positionH>
              <wp:positionV relativeFrom="bottomMargin">
                <wp:align>center</wp:align>
              </wp:positionV>
              <wp:extent cx="892175" cy="2730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20240" w14:textId="32A95093" w:rsidR="004D420D" w:rsidRPr="004D420D" w:rsidRDefault="004D420D" w:rsidP="004D420D">
                          <w:pPr>
                            <w:jc w:val="center"/>
                            <w:rPr>
                              <w:b/>
                              <w:color w:val="FF0000"/>
                              <w:sz w:val="24"/>
                            </w:rPr>
                          </w:pPr>
                          <w:r w:rsidRPr="004D420D">
                            <w:rPr>
                              <w:b/>
                              <w:color w:val="FF0000"/>
                              <w:sz w:val="24"/>
                            </w:rPr>
                            <w:fldChar w:fldCharType="begin"/>
                          </w:r>
                          <w:r w:rsidRPr="004D420D">
                            <w:rPr>
                              <w:b/>
                              <w:color w:val="FF0000"/>
                              <w:sz w:val="24"/>
                            </w:rPr>
                            <w:instrText xml:space="preserve"> DOCPROPERTY PM_ProtectiveMarkingValue_Footer \* MERGEFORMAT </w:instrText>
                          </w:r>
                          <w:r w:rsidRPr="004D420D">
                            <w:rPr>
                              <w:b/>
                              <w:color w:val="FF0000"/>
                              <w:sz w:val="24"/>
                            </w:rPr>
                            <w:fldChar w:fldCharType="separate"/>
                          </w:r>
                          <w:r w:rsidR="00B77F3A">
                            <w:rPr>
                              <w:b/>
                              <w:color w:val="FF0000"/>
                              <w:sz w:val="24"/>
                            </w:rPr>
                            <w:t>OFFICIAL</w:t>
                          </w:r>
                          <w:r w:rsidRPr="004D420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1AE2E1" id="Text Box 29" o:spid="_x0000_s1047" type="#_x0000_t202" style="position:absolute;left:0;text-align:left;margin-left:0;margin-top:0;width:70.25pt;height:21.5pt;z-index:25165826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ws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xP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TJswsGQIAADEEAAAOAAAAAAAAAAAAAAAAAC4CAABkcnMvZTJvRG9jLnhtbFBLAQItABQABgAI&#10;AAAAIQBpOk852wAAAAQBAAAPAAAAAAAAAAAAAAAAAHMEAABkcnMvZG93bnJldi54bWxQSwUGAAAA&#10;AAQABADzAAAAewUAAAAA&#10;" o:allowincell="f" filled="f" stroked="f" strokeweight=".5pt">
              <v:textbox style="mso-fit-shape-to-text:t">
                <w:txbxContent>
                  <w:p w14:paraId="3F020240" w14:textId="32A95093" w:rsidR="004D420D" w:rsidRPr="004D420D" w:rsidRDefault="004D420D" w:rsidP="004D420D">
                    <w:pPr>
                      <w:jc w:val="center"/>
                      <w:rPr>
                        <w:b/>
                        <w:color w:val="FF0000"/>
                        <w:sz w:val="24"/>
                      </w:rPr>
                    </w:pPr>
                    <w:r w:rsidRPr="004D420D">
                      <w:rPr>
                        <w:b/>
                        <w:color w:val="FF0000"/>
                        <w:sz w:val="24"/>
                      </w:rPr>
                      <w:fldChar w:fldCharType="begin"/>
                    </w:r>
                    <w:r w:rsidRPr="004D420D">
                      <w:rPr>
                        <w:b/>
                        <w:color w:val="FF0000"/>
                        <w:sz w:val="24"/>
                      </w:rPr>
                      <w:instrText xml:space="preserve"> DOCPROPERTY PM_ProtectiveMarkingValue_Footer \* MERGEFORMAT </w:instrText>
                    </w:r>
                    <w:r w:rsidRPr="004D420D">
                      <w:rPr>
                        <w:b/>
                        <w:color w:val="FF0000"/>
                        <w:sz w:val="24"/>
                      </w:rPr>
                      <w:fldChar w:fldCharType="separate"/>
                    </w:r>
                    <w:r w:rsidR="00B77F3A">
                      <w:rPr>
                        <w:b/>
                        <w:color w:val="FF0000"/>
                        <w:sz w:val="24"/>
                      </w:rPr>
                      <w:t>OFFICIAL</w:t>
                    </w:r>
                    <w:r w:rsidRPr="004D420D">
                      <w:rPr>
                        <w:b/>
                        <w:color w:val="FF0000"/>
                        <w:sz w:val="24"/>
                      </w:rPr>
                      <w:fldChar w:fldCharType="end"/>
                    </w:r>
                  </w:p>
                </w:txbxContent>
              </v:textbox>
              <w10:wrap anchorx="margin" anchory="margin"/>
              <w10:anchorlock/>
            </v:shape>
          </w:pict>
        </mc:Fallback>
      </mc:AlternateContent>
    </w:r>
    <w:r w:rsidR="00427BD7">
      <w:rPr>
        <w:noProof/>
      </w:rPr>
      <mc:AlternateContent>
        <mc:Choice Requires="wps">
          <w:drawing>
            <wp:anchor distT="0" distB="0" distL="114300" distR="114300" simplePos="0" relativeHeight="251658260" behindDoc="0" locked="1" layoutInCell="0" allowOverlap="1" wp14:anchorId="5828109F" wp14:editId="20F4DA69">
              <wp:simplePos x="0" y="0"/>
              <wp:positionH relativeFrom="margin">
                <wp:align>center</wp:align>
              </wp:positionH>
              <wp:positionV relativeFrom="bottomMargin">
                <wp:align>center</wp:align>
              </wp:positionV>
              <wp:extent cx="892175" cy="273050"/>
              <wp:effectExtent l="0" t="0" r="22225" b="12700"/>
              <wp:wrapNone/>
              <wp:docPr id="23" name="Text Box 2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0FD28EBA" w14:textId="16D7DADC" w:rsidR="00427BD7" w:rsidRPr="00427BD7" w:rsidRDefault="00427BD7" w:rsidP="00427BD7">
                          <w:pPr>
                            <w:jc w:val="center"/>
                            <w:rPr>
                              <w:b/>
                              <w:color w:val="FF0000"/>
                              <w:sz w:val="24"/>
                            </w:rPr>
                          </w:pPr>
                          <w:r w:rsidRPr="00427BD7">
                            <w:rPr>
                              <w:b/>
                              <w:color w:val="FF0000"/>
                              <w:sz w:val="24"/>
                            </w:rPr>
                            <w:fldChar w:fldCharType="begin"/>
                          </w:r>
                          <w:r w:rsidRPr="00427BD7">
                            <w:rPr>
                              <w:b/>
                              <w:color w:val="FF0000"/>
                              <w:sz w:val="24"/>
                            </w:rPr>
                            <w:instrText xml:space="preserve"> DOCPROPERTY PM_ProtectiveMarkingValue_Footer \* MERGEFORMAT </w:instrText>
                          </w:r>
                          <w:r w:rsidRPr="00427BD7">
                            <w:rPr>
                              <w:b/>
                              <w:color w:val="FF0000"/>
                              <w:sz w:val="24"/>
                            </w:rPr>
                            <w:fldChar w:fldCharType="separate"/>
                          </w:r>
                          <w:r w:rsidR="00B77F3A">
                            <w:rPr>
                              <w:b/>
                              <w:color w:val="FF0000"/>
                              <w:sz w:val="24"/>
                            </w:rPr>
                            <w:t>OFFICIAL</w:t>
                          </w:r>
                          <w:r w:rsidRPr="00427BD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28109F" id="Text Box 23" o:spid="_x0000_s1048" type="#_x0000_t202" style="position:absolute;left:0;text-align:left;margin-left:0;margin-top:0;width:70.25pt;height:21.5pt;z-index:2516582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" o:allowincell="f" filled="f" strokeweight=".5pt">
              <v:textbox style="mso-fit-shape-to-text:t">
                <w:txbxContent>
                  <w:p w14:paraId="0FD28EBA" w14:textId="16D7DADC" w:rsidR="00427BD7" w:rsidRPr="00427BD7" w:rsidRDefault="00427BD7" w:rsidP="00427BD7">
                    <w:pPr>
                      <w:jc w:val="center"/>
                      <w:rPr>
                        <w:b/>
                        <w:color w:val="FF0000"/>
                        <w:sz w:val="24"/>
                      </w:rPr>
                    </w:pPr>
                    <w:r w:rsidRPr="00427BD7">
                      <w:rPr>
                        <w:b/>
                        <w:color w:val="FF0000"/>
                        <w:sz w:val="24"/>
                      </w:rPr>
                      <w:fldChar w:fldCharType="begin"/>
                    </w:r>
                    <w:r w:rsidRPr="00427BD7">
                      <w:rPr>
                        <w:b/>
                        <w:color w:val="FF0000"/>
                        <w:sz w:val="24"/>
                      </w:rPr>
                      <w:instrText xml:space="preserve"> DOCPROPERTY PM_ProtectiveMarkingValue_Footer \* MERGEFORMAT </w:instrText>
                    </w:r>
                    <w:r w:rsidRPr="00427BD7">
                      <w:rPr>
                        <w:b/>
                        <w:color w:val="FF0000"/>
                        <w:sz w:val="24"/>
                      </w:rPr>
                      <w:fldChar w:fldCharType="separate"/>
                    </w:r>
                    <w:r w:rsidR="00B77F3A">
                      <w:rPr>
                        <w:b/>
                        <w:color w:val="FF0000"/>
                        <w:sz w:val="24"/>
                      </w:rPr>
                      <w:t>OFFICIAL</w:t>
                    </w:r>
                    <w:r w:rsidRPr="00427BD7">
                      <w:rPr>
                        <w:b/>
                        <w:color w:val="FF0000"/>
                        <w:sz w:val="24"/>
                      </w:rPr>
                      <w:fldChar w:fldCharType="end"/>
                    </w:r>
                  </w:p>
                </w:txbxContent>
              </v:textbox>
              <w10:wrap anchorx="margin" anchory="margin"/>
              <w10:anchorlock/>
            </v:shape>
          </w:pict>
        </mc:Fallback>
      </mc:AlternateContent>
    </w:r>
    <w:r w:rsidR="00221C5B">
      <w:rPr>
        <w:noProof/>
      </w:rPr>
      <mc:AlternateContent>
        <mc:Choice Requires="wps">
          <w:drawing>
            <wp:anchor distT="0" distB="0" distL="114300" distR="114300" simplePos="0" relativeHeight="251658254" behindDoc="0" locked="1" layoutInCell="0" allowOverlap="1" wp14:anchorId="3BC47B71" wp14:editId="50365E91">
              <wp:simplePos x="0" y="0"/>
              <wp:positionH relativeFrom="margin">
                <wp:align>center</wp:align>
              </wp:positionH>
              <wp:positionV relativeFrom="bottomMargin">
                <wp:align>center</wp:align>
              </wp:positionV>
              <wp:extent cx="892175" cy="2730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C50FA" w14:textId="34E013F3" w:rsidR="00221C5B" w:rsidRPr="00221C5B" w:rsidRDefault="00221C5B" w:rsidP="00221C5B">
                          <w:pPr>
                            <w:jc w:val="center"/>
                            <w:rPr>
                              <w:b/>
                              <w:color w:val="FF0000"/>
                              <w:sz w:val="24"/>
                            </w:rPr>
                          </w:pPr>
                          <w:r w:rsidRPr="00221C5B">
                            <w:rPr>
                              <w:b/>
                              <w:color w:val="FF0000"/>
                              <w:sz w:val="24"/>
                            </w:rPr>
                            <w:fldChar w:fldCharType="begin"/>
                          </w:r>
                          <w:r w:rsidRPr="00221C5B">
                            <w:rPr>
                              <w:b/>
                              <w:color w:val="FF0000"/>
                              <w:sz w:val="24"/>
                            </w:rPr>
                            <w:instrText xml:space="preserve"> DOCPROPERTY PM_ProtectiveMarkingValue_Footer \* MERGEFORMAT </w:instrText>
                          </w:r>
                          <w:r w:rsidRPr="00221C5B">
                            <w:rPr>
                              <w:b/>
                              <w:color w:val="FF0000"/>
                              <w:sz w:val="24"/>
                            </w:rPr>
                            <w:fldChar w:fldCharType="separate"/>
                          </w:r>
                          <w:r w:rsidR="00B77F3A">
                            <w:rPr>
                              <w:b/>
                              <w:color w:val="FF0000"/>
                              <w:sz w:val="24"/>
                            </w:rPr>
                            <w:t>OFFICIAL</w:t>
                          </w:r>
                          <w:r w:rsidRPr="00221C5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BC47B71" id="Text Box 17" o:spid="_x0000_s1049" type="#_x0000_t202" style="position:absolute;left:0;text-align:left;margin-left:0;margin-top:0;width:70.25pt;height:21.5pt;z-index:25165825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LO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0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qanLOGQIAADEEAAAOAAAAAAAAAAAAAAAAAC4CAABkcnMvZTJvRG9jLnhtbFBLAQItABQABgAI&#10;AAAAIQBpOk852wAAAAQBAAAPAAAAAAAAAAAAAAAAAHMEAABkcnMvZG93bnJldi54bWxQSwUGAAAA&#10;AAQABADzAAAAewUAAAAA&#10;" o:allowincell="f" filled="f" stroked="f" strokeweight=".5pt">
              <v:textbox style="mso-fit-shape-to-text:t">
                <w:txbxContent>
                  <w:p w14:paraId="2B3C50FA" w14:textId="34E013F3" w:rsidR="00221C5B" w:rsidRPr="00221C5B" w:rsidRDefault="00221C5B" w:rsidP="00221C5B">
                    <w:pPr>
                      <w:jc w:val="center"/>
                      <w:rPr>
                        <w:b/>
                        <w:color w:val="FF0000"/>
                        <w:sz w:val="24"/>
                      </w:rPr>
                    </w:pPr>
                    <w:r w:rsidRPr="00221C5B">
                      <w:rPr>
                        <w:b/>
                        <w:color w:val="FF0000"/>
                        <w:sz w:val="24"/>
                      </w:rPr>
                      <w:fldChar w:fldCharType="begin"/>
                    </w:r>
                    <w:r w:rsidRPr="00221C5B">
                      <w:rPr>
                        <w:b/>
                        <w:color w:val="FF0000"/>
                        <w:sz w:val="24"/>
                      </w:rPr>
                      <w:instrText xml:space="preserve"> DOCPROPERTY PM_ProtectiveMarkingValue_Footer \* MERGEFORMAT </w:instrText>
                    </w:r>
                    <w:r w:rsidRPr="00221C5B">
                      <w:rPr>
                        <w:b/>
                        <w:color w:val="FF0000"/>
                        <w:sz w:val="24"/>
                      </w:rPr>
                      <w:fldChar w:fldCharType="separate"/>
                    </w:r>
                    <w:r w:rsidR="00B77F3A">
                      <w:rPr>
                        <w:b/>
                        <w:color w:val="FF0000"/>
                        <w:sz w:val="24"/>
                      </w:rPr>
                      <w:t>OFFICIAL</w:t>
                    </w:r>
                    <w:r w:rsidRPr="00221C5B">
                      <w:rPr>
                        <w:b/>
                        <w:color w:val="FF0000"/>
                        <w:sz w:val="24"/>
                      </w:rPr>
                      <w:fldChar w:fldCharType="end"/>
                    </w:r>
                  </w:p>
                </w:txbxContent>
              </v:textbox>
              <w10:wrap anchorx="margin" anchory="margin"/>
              <w10:anchorlock/>
            </v:shape>
          </w:pict>
        </mc:Fallback>
      </mc:AlternateContent>
    </w:r>
    <w:r w:rsidR="0000155C">
      <w:rPr>
        <w:noProof/>
      </w:rPr>
      <mc:AlternateContent>
        <mc:Choice Requires="wps">
          <w:drawing>
            <wp:anchor distT="0" distB="0" distL="114300" distR="114300" simplePos="0" relativeHeight="251658246" behindDoc="0" locked="1" layoutInCell="0" allowOverlap="1" wp14:anchorId="3A15FF85" wp14:editId="5B740813">
              <wp:simplePos x="0" y="0"/>
              <wp:positionH relativeFrom="margin">
                <wp:align>center</wp:align>
              </wp:positionH>
              <wp:positionV relativeFrom="bottomMargin">
                <wp:align>center</wp:align>
              </wp:positionV>
              <wp:extent cx="892175" cy="2730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B248DD" w14:textId="6A587754" w:rsidR="0000155C" w:rsidRPr="0000155C" w:rsidRDefault="0000155C" w:rsidP="0000155C">
                          <w:pPr>
                            <w:jc w:val="center"/>
                            <w:rPr>
                              <w:b/>
                              <w:color w:val="FF0000"/>
                              <w:sz w:val="24"/>
                            </w:rPr>
                          </w:pPr>
                          <w:r w:rsidRPr="0000155C">
                            <w:rPr>
                              <w:b/>
                              <w:color w:val="FF0000"/>
                              <w:sz w:val="24"/>
                            </w:rPr>
                            <w:fldChar w:fldCharType="begin"/>
                          </w:r>
                          <w:r w:rsidRPr="0000155C">
                            <w:rPr>
                              <w:b/>
                              <w:color w:val="FF0000"/>
                              <w:sz w:val="24"/>
                            </w:rPr>
                            <w:instrText xml:space="preserve"> DOCPROPERTY PM_ProtectiveMarkingValue_Footer \* MERGEFORMAT </w:instrText>
                          </w:r>
                          <w:r w:rsidRPr="0000155C">
                            <w:rPr>
                              <w:b/>
                              <w:color w:val="FF0000"/>
                              <w:sz w:val="24"/>
                            </w:rPr>
                            <w:fldChar w:fldCharType="separate"/>
                          </w:r>
                          <w:r w:rsidR="00B77F3A">
                            <w:rPr>
                              <w:b/>
                              <w:color w:val="FF0000"/>
                              <w:sz w:val="24"/>
                            </w:rPr>
                            <w:t>OFFICIAL</w:t>
                          </w:r>
                          <w:r w:rsidRPr="0000155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15FF85" id="Text Box 15" o:spid="_x0000_s1050" type="#_x0000_t202" style="position:absolute;left:0;text-align:left;margin-left:0;margin-top:0;width:70.25pt;height:21.5pt;z-index:25165824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6IT2SGQIAADEEAAAOAAAAAAAAAAAAAAAAAC4CAABkcnMvZTJvRG9jLnhtbFBLAQItABQABgAI&#10;AAAAIQBpOk852wAAAAQBAAAPAAAAAAAAAAAAAAAAAHMEAABkcnMvZG93bnJldi54bWxQSwUGAAAA&#10;AAQABADzAAAAewUAAAAA&#10;" o:allowincell="f" filled="f" stroked="f" strokeweight=".5pt">
              <v:textbox style="mso-fit-shape-to-text:t">
                <w:txbxContent>
                  <w:p w14:paraId="55B248DD" w14:textId="6A587754" w:rsidR="0000155C" w:rsidRPr="0000155C" w:rsidRDefault="0000155C" w:rsidP="0000155C">
                    <w:pPr>
                      <w:jc w:val="center"/>
                      <w:rPr>
                        <w:b/>
                        <w:color w:val="FF0000"/>
                        <w:sz w:val="24"/>
                      </w:rPr>
                    </w:pPr>
                    <w:r w:rsidRPr="0000155C">
                      <w:rPr>
                        <w:b/>
                        <w:color w:val="FF0000"/>
                        <w:sz w:val="24"/>
                      </w:rPr>
                      <w:fldChar w:fldCharType="begin"/>
                    </w:r>
                    <w:r w:rsidRPr="0000155C">
                      <w:rPr>
                        <w:b/>
                        <w:color w:val="FF0000"/>
                        <w:sz w:val="24"/>
                      </w:rPr>
                      <w:instrText xml:space="preserve"> DOCPROPERTY PM_ProtectiveMarkingValue_Footer \* MERGEFORMAT </w:instrText>
                    </w:r>
                    <w:r w:rsidRPr="0000155C">
                      <w:rPr>
                        <w:b/>
                        <w:color w:val="FF0000"/>
                        <w:sz w:val="24"/>
                      </w:rPr>
                      <w:fldChar w:fldCharType="separate"/>
                    </w:r>
                    <w:r w:rsidR="00B77F3A">
                      <w:rPr>
                        <w:b/>
                        <w:color w:val="FF0000"/>
                        <w:sz w:val="24"/>
                      </w:rPr>
                      <w:t>OFFICIAL</w:t>
                    </w:r>
                    <w:r w:rsidRPr="0000155C">
                      <w:rPr>
                        <w:b/>
                        <w:color w:val="FF0000"/>
                        <w:sz w:val="24"/>
                      </w:rPr>
                      <w:fldChar w:fldCharType="end"/>
                    </w:r>
                  </w:p>
                </w:txbxContent>
              </v:textbox>
              <w10:wrap anchorx="margin" anchory="margin"/>
              <w10:anchorlock/>
            </v:shape>
          </w:pict>
        </mc:Fallback>
      </mc:AlternateContent>
    </w:r>
    <w:r w:rsidR="00104C55">
      <w:rPr>
        <w:noProof/>
      </w:rPr>
      <mc:AlternateContent>
        <mc:Choice Requires="wps">
          <w:drawing>
            <wp:anchor distT="0" distB="0" distL="114300" distR="114300" simplePos="0" relativeHeight="251658242" behindDoc="0" locked="1" layoutInCell="0" allowOverlap="1" wp14:anchorId="31D6B5A9" wp14:editId="2ADC1BB4">
              <wp:simplePos x="0" y="0"/>
              <wp:positionH relativeFrom="margin">
                <wp:align>center</wp:align>
              </wp:positionH>
              <wp:positionV relativeFrom="bottomMargin">
                <wp:align>center</wp:align>
              </wp:positionV>
              <wp:extent cx="892175" cy="273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49F076" w14:textId="54C6B705" w:rsidR="00104C55" w:rsidRPr="00E034B8" w:rsidRDefault="00104C55" w:rsidP="00E034B8">
                          <w:pPr>
                            <w:jc w:val="center"/>
                            <w:rPr>
                              <w:b/>
                              <w:color w:val="FF0000"/>
                              <w:sz w:val="24"/>
                            </w:rPr>
                          </w:pPr>
                          <w:r w:rsidRPr="00E034B8">
                            <w:rPr>
                              <w:b/>
                              <w:color w:val="FF0000"/>
                              <w:sz w:val="24"/>
                            </w:rPr>
                            <w:fldChar w:fldCharType="begin"/>
                          </w:r>
                          <w:r w:rsidRPr="00E034B8">
                            <w:rPr>
                              <w:b/>
                              <w:color w:val="FF0000"/>
                              <w:sz w:val="24"/>
                            </w:rPr>
                            <w:instrText xml:space="preserve"> DOCPROPERTY PM_ProtectiveMarkingValue_Footer \* MERGEFORMAT </w:instrText>
                          </w:r>
                          <w:r w:rsidRPr="00E034B8">
                            <w:rPr>
                              <w:b/>
                              <w:color w:val="FF0000"/>
                              <w:sz w:val="24"/>
                            </w:rPr>
                            <w:fldChar w:fldCharType="separate"/>
                          </w:r>
                          <w:r w:rsidR="00B77F3A">
                            <w:rPr>
                              <w:b/>
                              <w:color w:val="FF0000"/>
                              <w:sz w:val="24"/>
                            </w:rPr>
                            <w:t>OFFICIAL</w:t>
                          </w:r>
                          <w:r w:rsidRPr="00E034B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D6B5A9" id="Text Box 8" o:spid="_x0000_s1051" type="#_x0000_t202" style="position:absolute;left:0;text-align:left;margin-left:0;margin-top:0;width:70.25pt;height:21.5pt;z-index:251658242;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GhNoOGQIAADEEAAAOAAAAAAAAAAAAAAAAAC4CAABkcnMvZTJvRG9jLnhtbFBLAQItABQABgAI&#10;AAAAIQBpOk852wAAAAQBAAAPAAAAAAAAAAAAAAAAAHMEAABkcnMvZG93bnJldi54bWxQSwUGAAAA&#10;AAQABADzAAAAewUAAAAA&#10;" o:allowincell="f" filled="f" stroked="f" strokeweight=".5pt">
              <v:textbox style="mso-fit-shape-to-text:t">
                <w:txbxContent>
                  <w:p w14:paraId="7E49F076" w14:textId="54C6B705" w:rsidR="00104C55" w:rsidRPr="00E034B8" w:rsidRDefault="00104C55" w:rsidP="00E034B8">
                    <w:pPr>
                      <w:jc w:val="center"/>
                      <w:rPr>
                        <w:b/>
                        <w:color w:val="FF0000"/>
                        <w:sz w:val="24"/>
                      </w:rPr>
                    </w:pPr>
                    <w:r w:rsidRPr="00E034B8">
                      <w:rPr>
                        <w:b/>
                        <w:color w:val="FF0000"/>
                        <w:sz w:val="24"/>
                      </w:rPr>
                      <w:fldChar w:fldCharType="begin"/>
                    </w:r>
                    <w:r w:rsidRPr="00E034B8">
                      <w:rPr>
                        <w:b/>
                        <w:color w:val="FF0000"/>
                        <w:sz w:val="24"/>
                      </w:rPr>
                      <w:instrText xml:space="preserve"> DOCPROPERTY PM_ProtectiveMarkingValue_Footer \* MERGEFORMAT </w:instrText>
                    </w:r>
                    <w:r w:rsidRPr="00E034B8">
                      <w:rPr>
                        <w:b/>
                        <w:color w:val="FF0000"/>
                        <w:sz w:val="24"/>
                      </w:rPr>
                      <w:fldChar w:fldCharType="separate"/>
                    </w:r>
                    <w:r w:rsidR="00B77F3A">
                      <w:rPr>
                        <w:b/>
                        <w:color w:val="FF0000"/>
                        <w:sz w:val="24"/>
                      </w:rPr>
                      <w:t>OFFICIAL</w:t>
                    </w:r>
                    <w:r w:rsidRPr="00E034B8">
                      <w:rPr>
                        <w:b/>
                        <w:color w:val="FF0000"/>
                        <w:sz w:val="24"/>
                      </w:rPr>
                      <w:fldChar w:fldCharType="end"/>
                    </w:r>
                  </w:p>
                </w:txbxContent>
              </v:textbox>
              <w10:wrap anchorx="margin" anchory="margin"/>
              <w10:anchorlock/>
            </v:shape>
          </w:pict>
        </mc:Fallback>
      </mc:AlternateContent>
    </w:r>
    <w:r w:rsidR="00244B01">
      <w:fldChar w:fldCharType="begin" w:fldLock="1"/>
    </w:r>
    <w:r w:rsidR="00244B01">
      <w:instrText xml:space="preserve"> DOCPROPERTY bjFooterFirstPageDocProperty \* MERGEFORMAT </w:instrText>
    </w:r>
    <w:r w:rsidR="00244B01">
      <w:fldChar w:fldCharType="separate"/>
    </w:r>
  </w:p>
  <w:p w14:paraId="6F314929" w14:textId="77777777" w:rsidR="00244B01" w:rsidRPr="00DE1BD0" w:rsidRDefault="00244B01" w:rsidP="00DE1BD0">
    <w:pPr>
      <w:pStyle w:val="Footer"/>
      <w:jc w:val="center"/>
    </w:pPr>
    <w:r w:rsidRPr="00DE1BD0">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E335" w14:textId="77777777" w:rsidR="00E477F8" w:rsidRDefault="00E477F8">
      <w:r>
        <w:separator/>
      </w:r>
    </w:p>
  </w:footnote>
  <w:footnote w:type="continuationSeparator" w:id="0">
    <w:p w14:paraId="5CD919AC" w14:textId="77777777" w:rsidR="00E477F8" w:rsidRDefault="00E477F8">
      <w:r>
        <w:continuationSeparator/>
      </w:r>
    </w:p>
  </w:footnote>
  <w:footnote w:type="continuationNotice" w:id="1">
    <w:p w14:paraId="0A353288" w14:textId="77777777" w:rsidR="00E477F8" w:rsidRDefault="00E477F8"/>
  </w:footnote>
  <w:footnote w:id="2">
    <w:p w14:paraId="49C30004" w14:textId="77777777" w:rsidR="00244B01" w:rsidRPr="00814F71" w:rsidRDefault="00244B01" w:rsidP="00855EE3">
      <w:pPr>
        <w:pStyle w:val="FootnoteText"/>
        <w:rPr>
          <w:lang w:val="en-AU"/>
        </w:rPr>
      </w:pPr>
      <w:r>
        <w:rPr>
          <w:rStyle w:val="FootnoteReference"/>
        </w:rPr>
        <w:footnoteRef/>
      </w:r>
      <w:r>
        <w:t xml:space="preserve"> </w:t>
      </w:r>
      <w:r>
        <w:rPr>
          <w:lang w:val="en-AU"/>
        </w:rPr>
        <w:t>Formerly the Office of Best Practice Regulation (OBPR)</w:t>
      </w:r>
    </w:p>
  </w:footnote>
  <w:footnote w:id="3">
    <w:p w14:paraId="57956300" w14:textId="20E6777B" w:rsidR="00630F3B" w:rsidRPr="002534BB" w:rsidRDefault="00630F3B">
      <w:pPr>
        <w:pStyle w:val="FootnoteText"/>
        <w:rPr>
          <w:lang w:val="en-AU"/>
        </w:rPr>
      </w:pPr>
      <w:r>
        <w:rPr>
          <w:rStyle w:val="FootnoteReference"/>
        </w:rPr>
        <w:footnoteRef/>
      </w:r>
      <w:r>
        <w:t xml:space="preserve"> </w:t>
      </w:r>
      <w:r w:rsidR="00077865">
        <w:t>The current MLs were determined u</w:t>
      </w:r>
      <w:r w:rsidRPr="00630F3B">
        <w:t>nder Proposal P158 – Review of the Maximum Permitted Concentrations of Non-metals in Food</w:t>
      </w:r>
    </w:p>
  </w:footnote>
  <w:footnote w:id="4">
    <w:p w14:paraId="1DF92DF8" w14:textId="64445DDA" w:rsidR="00244B01" w:rsidRPr="00E7720E" w:rsidRDefault="00244B01">
      <w:pPr>
        <w:pStyle w:val="FootnoteText"/>
        <w:rPr>
          <w:lang w:val="en-AU"/>
        </w:rPr>
      </w:pPr>
      <w:r>
        <w:rPr>
          <w:rStyle w:val="FootnoteReference"/>
        </w:rPr>
        <w:footnoteRef/>
      </w:r>
      <w:r>
        <w:t xml:space="preserve"> </w:t>
      </w:r>
      <w:r>
        <w:rPr>
          <w:sz w:val="22"/>
          <w:szCs w:val="22"/>
        </w:rPr>
        <w:t xml:space="preserve">Department of Agriculture Water and the Environment. Failing food reports. 2021 [Available from: </w:t>
      </w:r>
      <w:hyperlink r:id="rId1" w:history="1">
        <w:r w:rsidRPr="00F35870">
          <w:rPr>
            <w:rStyle w:val="Hyperlink"/>
            <w:sz w:val="22"/>
            <w:szCs w:val="22"/>
          </w:rPr>
          <w:t>https://www.agriculture.gov.au/import/goods/food/inspection-compliance/failing-food-reports</w:t>
        </w:r>
      </w:hyperlink>
      <w:r>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5E98" w14:textId="2B17C51C" w:rsidR="00244B01" w:rsidRPr="00DE1BD0" w:rsidRDefault="00B77F3A" w:rsidP="00DE1BD0">
    <w:pPr>
      <w:pStyle w:val="Header"/>
      <w:jc w:val="center"/>
      <w:rPr>
        <w:rFonts w:ascii="Calibri" w:hAnsi="Calibri" w:cs="Calibri"/>
        <w:b/>
        <w:color w:val="F00000"/>
        <w:sz w:val="24"/>
      </w:rPr>
    </w:pPr>
    <w:r>
      <w:rPr>
        <w:noProof/>
      </w:rPr>
      <mc:AlternateContent>
        <mc:Choice Requires="wps">
          <w:drawing>
            <wp:anchor distT="0" distB="0" distL="114300" distR="114300" simplePos="0" relativeHeight="251661339" behindDoc="0" locked="1" layoutInCell="0" allowOverlap="1" wp14:anchorId="49F19871" wp14:editId="4490A304">
              <wp:simplePos x="0" y="0"/>
              <wp:positionH relativeFrom="margin">
                <wp:align>center</wp:align>
              </wp:positionH>
              <wp:positionV relativeFrom="topMargin">
                <wp:align>center</wp:align>
              </wp:positionV>
              <wp:extent cx="892175" cy="273050"/>
              <wp:effectExtent l="0" t="0" r="0" b="0"/>
              <wp:wrapNone/>
              <wp:docPr id="4" name="janusSEAL SC H_Even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D9884A" w14:textId="2963EBE0" w:rsidR="00B77F3A" w:rsidRPr="00B77F3A" w:rsidRDefault="00B77F3A" w:rsidP="00B77F3A">
                          <w:pPr>
                            <w:jc w:val="center"/>
                            <w:rPr>
                              <w:b/>
                              <w:color w:val="FF0000"/>
                              <w:sz w:val="24"/>
                            </w:rPr>
                          </w:pPr>
                          <w:r w:rsidRPr="00B77F3A">
                            <w:rPr>
                              <w:b/>
                              <w:color w:val="FF0000"/>
                              <w:sz w:val="24"/>
                            </w:rPr>
                            <w:fldChar w:fldCharType="begin"/>
                          </w:r>
                          <w:r w:rsidRPr="00B77F3A">
                            <w:rPr>
                              <w:b/>
                              <w:color w:val="FF0000"/>
                              <w:sz w:val="24"/>
                            </w:rPr>
                            <w:instrText xml:space="preserve"> DOCPROPERTY PM_ProtectiveMarkingValue_Header \* MERGEFORMAT </w:instrText>
                          </w:r>
                          <w:r w:rsidRPr="00B77F3A">
                            <w:rPr>
                              <w:b/>
                              <w:color w:val="FF0000"/>
                              <w:sz w:val="24"/>
                            </w:rPr>
                            <w:fldChar w:fldCharType="separate"/>
                          </w:r>
                          <w:r>
                            <w:rPr>
                              <w:b/>
                              <w:color w:val="FF0000"/>
                              <w:sz w:val="24"/>
                            </w:rPr>
                            <w:t>OFFICIAL</w:t>
                          </w:r>
                          <w:r w:rsidRPr="00B77F3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F19871" id="_x0000_t202" coordsize="21600,21600" o:spt="202" path="m,l,21600r21600,l21600,xe">
              <v:stroke joinstyle="miter"/>
              <v:path gradientshapeok="t" o:connecttype="rect"/>
            </v:shapetype>
            <v:shape id="janusSEAL SC H_EvenPage" o:spid="_x0000_s1026" type="#_x0000_t202" style="position:absolute;left:0;text-align:left;margin-left:0;margin-top:0;width:70.25pt;height:21.5pt;z-index:25166133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8GQIAADE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ukhPc6wp32M8SwfmnZGLCk0s&#10;hfOvwoJqTAT5+hcsRU0oRkeLs5Lsz7/dh3gwAC9nLaSTcQ1tc1Z/12DmfjAcBqXFw3A0TnGw1571&#10;tUdvm0eCNgf4JkZGM8T7+mQWlpp3aHweasIltETljPuT+egPcsYfkWo+j0HQlhF+qVdGhtQBugDw&#10;W/curDmy4EHfM50kJiY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AD/Iw8GQIAADEEAAAOAAAAAAAAAAAAAAAAAC4CAABkcnMvZTJvRG9jLnhtbFBLAQItABQABgAI&#10;AAAAIQBpOk852wAAAAQBAAAPAAAAAAAAAAAAAAAAAHMEAABkcnMvZG93bnJldi54bWxQSwUGAAAA&#10;AAQABADzAAAAewUAAAAA&#10;" o:allowincell="f" filled="f" stroked="f" strokeweight=".5pt">
              <v:fill o:detectmouseclick="t"/>
              <v:textbox style="mso-fit-shape-to-text:t">
                <w:txbxContent>
                  <w:p w14:paraId="4ED9884A" w14:textId="2963EBE0" w:rsidR="00B77F3A" w:rsidRPr="00B77F3A" w:rsidRDefault="00B77F3A" w:rsidP="00B77F3A">
                    <w:pPr>
                      <w:jc w:val="center"/>
                      <w:rPr>
                        <w:b/>
                        <w:color w:val="FF0000"/>
                        <w:sz w:val="24"/>
                      </w:rPr>
                    </w:pPr>
                    <w:r w:rsidRPr="00B77F3A">
                      <w:rPr>
                        <w:b/>
                        <w:color w:val="FF0000"/>
                        <w:sz w:val="24"/>
                      </w:rPr>
                      <w:fldChar w:fldCharType="begin"/>
                    </w:r>
                    <w:r w:rsidRPr="00B77F3A">
                      <w:rPr>
                        <w:b/>
                        <w:color w:val="FF0000"/>
                        <w:sz w:val="24"/>
                      </w:rPr>
                      <w:instrText xml:space="preserve"> DOCPROPERTY PM_ProtectiveMarkingValue_Header \* MERGEFORMAT </w:instrText>
                    </w:r>
                    <w:r w:rsidRPr="00B77F3A">
                      <w:rPr>
                        <w:b/>
                        <w:color w:val="FF0000"/>
                        <w:sz w:val="24"/>
                      </w:rPr>
                      <w:fldChar w:fldCharType="separate"/>
                    </w:r>
                    <w:r>
                      <w:rPr>
                        <w:b/>
                        <w:color w:val="FF0000"/>
                        <w:sz w:val="24"/>
                      </w:rPr>
                      <w:t>OFFICIAL</w:t>
                    </w:r>
                    <w:r w:rsidRPr="00B77F3A">
                      <w:rPr>
                        <w:b/>
                        <w:color w:val="FF0000"/>
                        <w:sz w:val="24"/>
                      </w:rPr>
                      <w:fldChar w:fldCharType="end"/>
                    </w:r>
                  </w:p>
                </w:txbxContent>
              </v:textbox>
              <w10:wrap anchorx="margin" anchory="margin"/>
              <w10:anchorlock/>
            </v:shape>
          </w:pict>
        </mc:Fallback>
      </mc:AlternateContent>
    </w:r>
    <w:r w:rsidR="004D420D">
      <w:rPr>
        <w:noProof/>
      </w:rPr>
      <mc:AlternateContent>
        <mc:Choice Requires="wps">
          <w:drawing>
            <wp:anchor distT="0" distB="0" distL="114300" distR="114300" simplePos="0" relativeHeight="251658264" behindDoc="0" locked="1" layoutInCell="0" allowOverlap="1" wp14:anchorId="2BF9F186" wp14:editId="39E7336B">
              <wp:simplePos x="0" y="0"/>
              <wp:positionH relativeFrom="margin">
                <wp:align>center</wp:align>
              </wp:positionH>
              <wp:positionV relativeFrom="topMargin">
                <wp:align>center</wp:align>
              </wp:positionV>
              <wp:extent cx="892175" cy="2730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045543" w14:textId="37DFCB5E" w:rsidR="004D420D" w:rsidRPr="004D420D" w:rsidRDefault="004D420D" w:rsidP="004D420D">
                          <w:pPr>
                            <w:jc w:val="center"/>
                            <w:rPr>
                              <w:b/>
                              <w:color w:val="FF0000"/>
                              <w:sz w:val="24"/>
                            </w:rPr>
                          </w:pPr>
                          <w:r w:rsidRPr="004D420D">
                            <w:rPr>
                              <w:b/>
                              <w:color w:val="FF0000"/>
                              <w:sz w:val="24"/>
                            </w:rPr>
                            <w:fldChar w:fldCharType="begin"/>
                          </w:r>
                          <w:r w:rsidRPr="004D420D">
                            <w:rPr>
                              <w:b/>
                              <w:color w:val="FF0000"/>
                              <w:sz w:val="24"/>
                            </w:rPr>
                            <w:instrText xml:space="preserve"> DOCPROPERTY PM_ProtectiveMarkingValue_Header \* MERGEFORMAT </w:instrText>
                          </w:r>
                          <w:r w:rsidRPr="004D420D">
                            <w:rPr>
                              <w:b/>
                              <w:color w:val="FF0000"/>
                              <w:sz w:val="24"/>
                            </w:rPr>
                            <w:fldChar w:fldCharType="separate"/>
                          </w:r>
                          <w:r w:rsidR="00B77F3A">
                            <w:rPr>
                              <w:b/>
                              <w:color w:val="FF0000"/>
                              <w:sz w:val="24"/>
                            </w:rPr>
                            <w:t>OFFICIAL</w:t>
                          </w:r>
                          <w:r w:rsidRPr="004D420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F9F186" id="Text Box 27" o:spid="_x0000_s1027" type="#_x0000_t202" style="position:absolute;left:0;text-align:left;margin-left:0;margin-top:0;width:70.25pt;height:21.5pt;z-index:251658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" o:allowincell="f" filled="f" stroked="f" strokeweight=".5pt">
              <v:textbox style="mso-fit-shape-to-text:t">
                <w:txbxContent>
                  <w:p w14:paraId="60045543" w14:textId="37DFCB5E" w:rsidR="004D420D" w:rsidRPr="004D420D" w:rsidRDefault="004D420D" w:rsidP="004D420D">
                    <w:pPr>
                      <w:jc w:val="center"/>
                      <w:rPr>
                        <w:b/>
                        <w:color w:val="FF0000"/>
                        <w:sz w:val="24"/>
                      </w:rPr>
                    </w:pPr>
                    <w:r w:rsidRPr="004D420D">
                      <w:rPr>
                        <w:b/>
                        <w:color w:val="FF0000"/>
                        <w:sz w:val="24"/>
                      </w:rPr>
                      <w:fldChar w:fldCharType="begin"/>
                    </w:r>
                    <w:r w:rsidRPr="004D420D">
                      <w:rPr>
                        <w:b/>
                        <w:color w:val="FF0000"/>
                        <w:sz w:val="24"/>
                      </w:rPr>
                      <w:instrText xml:space="preserve"> DOCPROPERTY PM_ProtectiveMarkingValue_Header \* MERGEFORMAT </w:instrText>
                    </w:r>
                    <w:r w:rsidRPr="004D420D">
                      <w:rPr>
                        <w:b/>
                        <w:color w:val="FF0000"/>
                        <w:sz w:val="24"/>
                      </w:rPr>
                      <w:fldChar w:fldCharType="separate"/>
                    </w:r>
                    <w:r w:rsidR="00B77F3A">
                      <w:rPr>
                        <w:b/>
                        <w:color w:val="FF0000"/>
                        <w:sz w:val="24"/>
                      </w:rPr>
                      <w:t>OFFICIAL</w:t>
                    </w:r>
                    <w:r w:rsidRPr="004D420D">
                      <w:rPr>
                        <w:b/>
                        <w:color w:val="FF0000"/>
                        <w:sz w:val="24"/>
                      </w:rPr>
                      <w:fldChar w:fldCharType="end"/>
                    </w:r>
                  </w:p>
                </w:txbxContent>
              </v:textbox>
              <w10:wrap anchorx="margin" anchory="margin"/>
              <w10:anchorlock/>
            </v:shape>
          </w:pict>
        </mc:Fallback>
      </mc:AlternateContent>
    </w:r>
    <w:r w:rsidR="00427BD7">
      <w:rPr>
        <w:noProof/>
      </w:rPr>
      <mc:AlternateContent>
        <mc:Choice Requires="wps">
          <w:drawing>
            <wp:anchor distT="0" distB="0" distL="114300" distR="114300" simplePos="0" relativeHeight="251658258" behindDoc="0" locked="1" layoutInCell="0" allowOverlap="1" wp14:anchorId="55C001B1" wp14:editId="5026F733">
              <wp:simplePos x="0" y="0"/>
              <wp:positionH relativeFrom="margin">
                <wp:align>center</wp:align>
              </wp:positionH>
              <wp:positionV relativeFrom="topMargin">
                <wp:align>center</wp:align>
              </wp:positionV>
              <wp:extent cx="892175" cy="273050"/>
              <wp:effectExtent l="0" t="0" r="22225" b="12700"/>
              <wp:wrapNone/>
              <wp:docPr id="21" name="Text Box 2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716E6A36" w14:textId="7C143F3B" w:rsidR="00427BD7" w:rsidRPr="00427BD7" w:rsidRDefault="00427BD7" w:rsidP="00427BD7">
                          <w:pPr>
                            <w:jc w:val="center"/>
                            <w:rPr>
                              <w:b/>
                              <w:color w:val="FF0000"/>
                              <w:sz w:val="24"/>
                            </w:rPr>
                          </w:pPr>
                          <w:r w:rsidRPr="00427BD7">
                            <w:rPr>
                              <w:b/>
                              <w:color w:val="FF0000"/>
                              <w:sz w:val="24"/>
                            </w:rPr>
                            <w:fldChar w:fldCharType="begin"/>
                          </w:r>
                          <w:r w:rsidRPr="00427BD7">
                            <w:rPr>
                              <w:b/>
                              <w:color w:val="FF0000"/>
                              <w:sz w:val="24"/>
                            </w:rPr>
                            <w:instrText xml:space="preserve"> DOCPROPERTY PM_ProtectiveMarkingValue_Header \* MERGEFORMAT </w:instrText>
                          </w:r>
                          <w:r w:rsidRPr="00427BD7">
                            <w:rPr>
                              <w:b/>
                              <w:color w:val="FF0000"/>
                              <w:sz w:val="24"/>
                            </w:rPr>
                            <w:fldChar w:fldCharType="separate"/>
                          </w:r>
                          <w:r w:rsidR="00B77F3A">
                            <w:rPr>
                              <w:b/>
                              <w:color w:val="FF0000"/>
                              <w:sz w:val="24"/>
                            </w:rPr>
                            <w:t>OFFICIAL</w:t>
                          </w:r>
                          <w:r w:rsidRPr="00427BD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C001B1" id="Text Box 21" o:spid="_x0000_s1028" type="#_x0000_t202" style="position:absolute;left:0;text-align:left;margin-left:0;margin-top:0;width:70.25pt;height:21.5pt;z-index:25165825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" o:allowincell="f" filled="f" strokeweight=".5pt">
              <v:textbox style="mso-fit-shape-to-text:t">
                <w:txbxContent>
                  <w:p w14:paraId="716E6A36" w14:textId="7C143F3B" w:rsidR="00427BD7" w:rsidRPr="00427BD7" w:rsidRDefault="00427BD7" w:rsidP="00427BD7">
                    <w:pPr>
                      <w:jc w:val="center"/>
                      <w:rPr>
                        <w:b/>
                        <w:color w:val="FF0000"/>
                        <w:sz w:val="24"/>
                      </w:rPr>
                    </w:pPr>
                    <w:r w:rsidRPr="00427BD7">
                      <w:rPr>
                        <w:b/>
                        <w:color w:val="FF0000"/>
                        <w:sz w:val="24"/>
                      </w:rPr>
                      <w:fldChar w:fldCharType="begin"/>
                    </w:r>
                    <w:r w:rsidRPr="00427BD7">
                      <w:rPr>
                        <w:b/>
                        <w:color w:val="FF0000"/>
                        <w:sz w:val="24"/>
                      </w:rPr>
                      <w:instrText xml:space="preserve"> DOCPROPERTY PM_ProtectiveMarkingValue_Header \* MERGEFORMAT </w:instrText>
                    </w:r>
                    <w:r w:rsidRPr="00427BD7">
                      <w:rPr>
                        <w:b/>
                        <w:color w:val="FF0000"/>
                        <w:sz w:val="24"/>
                      </w:rPr>
                      <w:fldChar w:fldCharType="separate"/>
                    </w:r>
                    <w:r w:rsidR="00B77F3A">
                      <w:rPr>
                        <w:b/>
                        <w:color w:val="FF0000"/>
                        <w:sz w:val="24"/>
                      </w:rPr>
                      <w:t>OFFICIAL</w:t>
                    </w:r>
                    <w:r w:rsidRPr="00427BD7">
                      <w:rPr>
                        <w:b/>
                        <w:color w:val="FF0000"/>
                        <w:sz w:val="24"/>
                      </w:rPr>
                      <w:fldChar w:fldCharType="end"/>
                    </w:r>
                  </w:p>
                </w:txbxContent>
              </v:textbox>
              <w10:wrap anchorx="margin" anchory="margin"/>
              <w10:anchorlock/>
            </v:shape>
          </w:pict>
        </mc:Fallback>
      </mc:AlternateContent>
    </w:r>
    <w:r w:rsidR="00221C5B">
      <w:rPr>
        <w:noProof/>
      </w:rPr>
      <mc:AlternateContent>
        <mc:Choice Requires="wps">
          <w:drawing>
            <wp:anchor distT="0" distB="0" distL="114300" distR="114300" simplePos="0" relativeHeight="251658252" behindDoc="0" locked="1" layoutInCell="0" allowOverlap="1" wp14:anchorId="6B7CFA50" wp14:editId="640D386C">
              <wp:simplePos x="0" y="0"/>
              <wp:positionH relativeFrom="margin">
                <wp:align>center</wp:align>
              </wp:positionH>
              <wp:positionV relativeFrom="topMargin">
                <wp:align>center</wp:align>
              </wp:positionV>
              <wp:extent cx="892175" cy="273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29B5A" w14:textId="0EDFB6F8" w:rsidR="00221C5B" w:rsidRPr="00221C5B" w:rsidRDefault="00221C5B" w:rsidP="00221C5B">
                          <w:pPr>
                            <w:jc w:val="center"/>
                            <w:rPr>
                              <w:b/>
                              <w:color w:val="FF0000"/>
                              <w:sz w:val="24"/>
                            </w:rPr>
                          </w:pPr>
                          <w:r w:rsidRPr="00221C5B">
                            <w:rPr>
                              <w:b/>
                              <w:color w:val="FF0000"/>
                              <w:sz w:val="24"/>
                            </w:rPr>
                            <w:fldChar w:fldCharType="begin"/>
                          </w:r>
                          <w:r w:rsidRPr="00221C5B">
                            <w:rPr>
                              <w:b/>
                              <w:color w:val="FF0000"/>
                              <w:sz w:val="24"/>
                            </w:rPr>
                            <w:instrText xml:space="preserve"> DOCPROPERTY PM_ProtectiveMarkingValue_Header \* MERGEFORMAT </w:instrText>
                          </w:r>
                          <w:r w:rsidRPr="00221C5B">
                            <w:rPr>
                              <w:b/>
                              <w:color w:val="FF0000"/>
                              <w:sz w:val="24"/>
                            </w:rPr>
                            <w:fldChar w:fldCharType="separate"/>
                          </w:r>
                          <w:r w:rsidR="00B77F3A">
                            <w:rPr>
                              <w:b/>
                              <w:color w:val="FF0000"/>
                              <w:sz w:val="24"/>
                            </w:rPr>
                            <w:t>OFFICIAL</w:t>
                          </w:r>
                          <w:r w:rsidRPr="00221C5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7CFA50" id="Text Box 11" o:spid="_x0000_s1029" type="#_x0000_t202" style="position:absolute;left:0;text-align:left;margin-left:0;margin-top:0;width:70.25pt;height:21.5pt;z-index:25165825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jdBGAIAADA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GWFO+x3SWDsQ7IxcVelgK&#10;51+FBdMYCOr1L1iKmlCLjhZnJdmff7sP8SAAXs5aKCfjGtLmrP6uQcz9YDQKQouH0XgyxMFee9bX&#10;Hr1tHgnSHOCXGBnNEO/rk1lYat4h8XmoCZfQEpUz7k/moz+oGV9Eqvk8BkFaRvilXhkZUgfkAr5v&#10;3buw5kiCB3vPdFKYSD9wcYgNL52Zbz0YiUQFlA+YHsGHLCN/xy8UdH99jlGXj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P3aN0EYAgAAMAQAAA4AAAAAAAAAAAAAAAAALgIAAGRycy9lMm9Eb2MueG1sUEsBAi0AFAAGAAgA&#10;AAAhAGk6TznbAAAABAEAAA8AAAAAAAAAAAAAAAAAcgQAAGRycy9kb3ducmV2LnhtbFBLBQYAAAAA&#10;BAAEAPMAAAB6BQAAAAA=&#10;" o:allowincell="f" filled="f" stroked="f" strokeweight=".5pt">
              <v:textbox style="mso-fit-shape-to-text:t">
                <w:txbxContent>
                  <w:p w14:paraId="30729B5A" w14:textId="0EDFB6F8" w:rsidR="00221C5B" w:rsidRPr="00221C5B" w:rsidRDefault="00221C5B" w:rsidP="00221C5B">
                    <w:pPr>
                      <w:jc w:val="center"/>
                      <w:rPr>
                        <w:b/>
                        <w:color w:val="FF0000"/>
                        <w:sz w:val="24"/>
                      </w:rPr>
                    </w:pPr>
                    <w:r w:rsidRPr="00221C5B">
                      <w:rPr>
                        <w:b/>
                        <w:color w:val="FF0000"/>
                        <w:sz w:val="24"/>
                      </w:rPr>
                      <w:fldChar w:fldCharType="begin"/>
                    </w:r>
                    <w:r w:rsidRPr="00221C5B">
                      <w:rPr>
                        <w:b/>
                        <w:color w:val="FF0000"/>
                        <w:sz w:val="24"/>
                      </w:rPr>
                      <w:instrText xml:space="preserve"> DOCPROPERTY PM_ProtectiveMarkingValue_Header \* MERGEFORMAT </w:instrText>
                    </w:r>
                    <w:r w:rsidRPr="00221C5B">
                      <w:rPr>
                        <w:b/>
                        <w:color w:val="FF0000"/>
                        <w:sz w:val="24"/>
                      </w:rPr>
                      <w:fldChar w:fldCharType="separate"/>
                    </w:r>
                    <w:r w:rsidR="00B77F3A">
                      <w:rPr>
                        <w:b/>
                        <w:color w:val="FF0000"/>
                        <w:sz w:val="24"/>
                      </w:rPr>
                      <w:t>OFFICIAL</w:t>
                    </w:r>
                    <w:r w:rsidRPr="00221C5B">
                      <w:rPr>
                        <w:b/>
                        <w:color w:val="FF0000"/>
                        <w:sz w:val="24"/>
                      </w:rPr>
                      <w:fldChar w:fldCharType="end"/>
                    </w:r>
                  </w:p>
                </w:txbxContent>
              </v:textbox>
              <w10:wrap anchorx="margin" anchory="margin"/>
              <w10:anchorlock/>
            </v:shape>
          </w:pict>
        </mc:Fallback>
      </mc:AlternateContent>
    </w:r>
    <w:r w:rsidR="0000155C">
      <w:rPr>
        <w:noProof/>
      </w:rPr>
      <mc:AlternateContent>
        <mc:Choice Requires="wps">
          <w:drawing>
            <wp:anchor distT="0" distB="0" distL="114300" distR="114300" simplePos="0" relativeHeight="251658245" behindDoc="0" locked="1" layoutInCell="0" allowOverlap="1" wp14:anchorId="537CB284" wp14:editId="4E434AAA">
              <wp:simplePos x="0" y="0"/>
              <wp:positionH relativeFrom="margin">
                <wp:align>center</wp:align>
              </wp:positionH>
              <wp:positionV relativeFrom="topMargin">
                <wp:align>center</wp:align>
              </wp:positionV>
              <wp:extent cx="892175" cy="2730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A24FB" w14:textId="04487F42" w:rsidR="0000155C" w:rsidRPr="0000155C" w:rsidRDefault="0000155C" w:rsidP="0000155C">
                          <w:pPr>
                            <w:jc w:val="center"/>
                            <w:rPr>
                              <w:b/>
                              <w:color w:val="FF0000"/>
                              <w:sz w:val="24"/>
                            </w:rPr>
                          </w:pPr>
                          <w:r w:rsidRPr="0000155C">
                            <w:rPr>
                              <w:b/>
                              <w:color w:val="FF0000"/>
                              <w:sz w:val="24"/>
                            </w:rPr>
                            <w:fldChar w:fldCharType="begin"/>
                          </w:r>
                          <w:r w:rsidRPr="0000155C">
                            <w:rPr>
                              <w:b/>
                              <w:color w:val="FF0000"/>
                              <w:sz w:val="24"/>
                            </w:rPr>
                            <w:instrText xml:space="preserve"> DOCPROPERTY PM_ProtectiveMarkingValue_Header \* MERGEFORMAT </w:instrText>
                          </w:r>
                          <w:r w:rsidRPr="0000155C">
                            <w:rPr>
                              <w:b/>
                              <w:color w:val="FF0000"/>
                              <w:sz w:val="24"/>
                            </w:rPr>
                            <w:fldChar w:fldCharType="separate"/>
                          </w:r>
                          <w:r w:rsidR="00B77F3A">
                            <w:rPr>
                              <w:b/>
                              <w:color w:val="FF0000"/>
                              <w:sz w:val="24"/>
                            </w:rPr>
                            <w:t>OFFICIAL</w:t>
                          </w:r>
                          <w:r w:rsidRPr="0000155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7CB284" id="Text Box 13" o:spid="_x0000_s1030" type="#_x0000_t202" style="position:absolute;left:0;text-align:left;margin-left:0;margin-top:0;width:70.25pt;height:21.5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MF/0N0YAgAAMAQAAA4AAAAAAAAAAAAAAAAALgIAAGRycy9lMm9Eb2MueG1sUEsBAi0AFAAGAAgA&#10;AAAhAGk6TznbAAAABAEAAA8AAAAAAAAAAAAAAAAAcgQAAGRycy9kb3ducmV2LnhtbFBLBQYAAAAA&#10;BAAEAPMAAAB6BQAAAAA=&#10;" o:allowincell="f" filled="f" stroked="f" strokeweight=".5pt">
              <v:textbox style="mso-fit-shape-to-text:t">
                <w:txbxContent>
                  <w:p w14:paraId="688A24FB" w14:textId="04487F42" w:rsidR="0000155C" w:rsidRPr="0000155C" w:rsidRDefault="0000155C" w:rsidP="0000155C">
                    <w:pPr>
                      <w:jc w:val="center"/>
                      <w:rPr>
                        <w:b/>
                        <w:color w:val="FF0000"/>
                        <w:sz w:val="24"/>
                      </w:rPr>
                    </w:pPr>
                    <w:r w:rsidRPr="0000155C">
                      <w:rPr>
                        <w:b/>
                        <w:color w:val="FF0000"/>
                        <w:sz w:val="24"/>
                      </w:rPr>
                      <w:fldChar w:fldCharType="begin"/>
                    </w:r>
                    <w:r w:rsidRPr="0000155C">
                      <w:rPr>
                        <w:b/>
                        <w:color w:val="FF0000"/>
                        <w:sz w:val="24"/>
                      </w:rPr>
                      <w:instrText xml:space="preserve"> DOCPROPERTY PM_ProtectiveMarkingValue_Header \* MERGEFORMAT </w:instrText>
                    </w:r>
                    <w:r w:rsidRPr="0000155C">
                      <w:rPr>
                        <w:b/>
                        <w:color w:val="FF0000"/>
                        <w:sz w:val="24"/>
                      </w:rPr>
                      <w:fldChar w:fldCharType="separate"/>
                    </w:r>
                    <w:r w:rsidR="00B77F3A">
                      <w:rPr>
                        <w:b/>
                        <w:color w:val="FF0000"/>
                        <w:sz w:val="24"/>
                      </w:rPr>
                      <w:t>OFFICIAL</w:t>
                    </w:r>
                    <w:r w:rsidRPr="0000155C">
                      <w:rPr>
                        <w:b/>
                        <w:color w:val="FF0000"/>
                        <w:sz w:val="24"/>
                      </w:rPr>
                      <w:fldChar w:fldCharType="end"/>
                    </w:r>
                  </w:p>
                </w:txbxContent>
              </v:textbox>
              <w10:wrap anchorx="margin" anchory="margin"/>
              <w10:anchorlock/>
            </v:shape>
          </w:pict>
        </mc:Fallback>
      </mc:AlternateContent>
    </w:r>
    <w:r w:rsidR="00104C55">
      <w:rPr>
        <w:noProof/>
      </w:rPr>
      <mc:AlternateContent>
        <mc:Choice Requires="wps">
          <w:drawing>
            <wp:anchor distT="0" distB="0" distL="114300" distR="114300" simplePos="0" relativeHeight="251658241" behindDoc="0" locked="1" layoutInCell="0" allowOverlap="1" wp14:anchorId="50224F7E" wp14:editId="79B90E12">
              <wp:simplePos x="0" y="0"/>
              <wp:positionH relativeFrom="margin">
                <wp:align>center</wp:align>
              </wp:positionH>
              <wp:positionV relativeFrom="topMargin">
                <wp:align>center</wp:align>
              </wp:positionV>
              <wp:extent cx="892175" cy="27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165D16" w14:textId="701E294D" w:rsidR="00104C55" w:rsidRPr="00E034B8" w:rsidRDefault="00104C55" w:rsidP="00E034B8">
                          <w:pPr>
                            <w:jc w:val="center"/>
                            <w:rPr>
                              <w:b/>
                              <w:color w:val="FF0000"/>
                              <w:sz w:val="24"/>
                            </w:rPr>
                          </w:pPr>
                          <w:r w:rsidRPr="00E034B8">
                            <w:rPr>
                              <w:b/>
                              <w:color w:val="FF0000"/>
                              <w:sz w:val="24"/>
                            </w:rPr>
                            <w:fldChar w:fldCharType="begin"/>
                          </w:r>
                          <w:r w:rsidRPr="00E034B8">
                            <w:rPr>
                              <w:b/>
                              <w:color w:val="FF0000"/>
                              <w:sz w:val="24"/>
                            </w:rPr>
                            <w:instrText xml:space="preserve"> DOCPROPERTY PM_ProtectiveMarkingValue_Header \* MERGEFORMAT </w:instrText>
                          </w:r>
                          <w:r w:rsidRPr="00E034B8">
                            <w:rPr>
                              <w:b/>
                              <w:color w:val="FF0000"/>
                              <w:sz w:val="24"/>
                            </w:rPr>
                            <w:fldChar w:fldCharType="separate"/>
                          </w:r>
                          <w:r w:rsidR="00B77F3A">
                            <w:rPr>
                              <w:b/>
                              <w:color w:val="FF0000"/>
                              <w:sz w:val="24"/>
                            </w:rPr>
                            <w:t>OFFICIAL</w:t>
                          </w:r>
                          <w:r w:rsidRPr="00E034B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0224F7E" id="Text Box 6" o:spid="_x0000_s1031" type="#_x0000_t202" style="position:absolute;left:0;text-align:left;margin-left:0;margin-top:0;width:70.25pt;height:21.5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D3CIS9GQIAADAEAAAOAAAAAAAAAAAAAAAAAC4CAABkcnMvZTJvRG9jLnhtbFBLAQItABQABgAI&#10;AAAAIQBpOk852wAAAAQBAAAPAAAAAAAAAAAAAAAAAHMEAABkcnMvZG93bnJldi54bWxQSwUGAAAA&#10;AAQABADzAAAAewUAAAAA&#10;" o:allowincell="f" filled="f" stroked="f" strokeweight=".5pt">
              <v:textbox style="mso-fit-shape-to-text:t">
                <w:txbxContent>
                  <w:p w14:paraId="37165D16" w14:textId="701E294D" w:rsidR="00104C55" w:rsidRPr="00E034B8" w:rsidRDefault="00104C55" w:rsidP="00E034B8">
                    <w:pPr>
                      <w:jc w:val="center"/>
                      <w:rPr>
                        <w:b/>
                        <w:color w:val="FF0000"/>
                        <w:sz w:val="24"/>
                      </w:rPr>
                    </w:pPr>
                    <w:r w:rsidRPr="00E034B8">
                      <w:rPr>
                        <w:b/>
                        <w:color w:val="FF0000"/>
                        <w:sz w:val="24"/>
                      </w:rPr>
                      <w:fldChar w:fldCharType="begin"/>
                    </w:r>
                    <w:r w:rsidRPr="00E034B8">
                      <w:rPr>
                        <w:b/>
                        <w:color w:val="FF0000"/>
                        <w:sz w:val="24"/>
                      </w:rPr>
                      <w:instrText xml:space="preserve"> DOCPROPERTY PM_ProtectiveMarkingValue_Header \* MERGEFORMAT </w:instrText>
                    </w:r>
                    <w:r w:rsidRPr="00E034B8">
                      <w:rPr>
                        <w:b/>
                        <w:color w:val="FF0000"/>
                        <w:sz w:val="24"/>
                      </w:rPr>
                      <w:fldChar w:fldCharType="separate"/>
                    </w:r>
                    <w:r w:rsidR="00B77F3A">
                      <w:rPr>
                        <w:b/>
                        <w:color w:val="FF0000"/>
                        <w:sz w:val="24"/>
                      </w:rPr>
                      <w:t>OFFICIAL</w:t>
                    </w:r>
                    <w:r w:rsidRPr="00E034B8">
                      <w:rPr>
                        <w:b/>
                        <w:color w:val="FF0000"/>
                        <w:sz w:val="24"/>
                      </w:rPr>
                      <w:fldChar w:fldCharType="end"/>
                    </w:r>
                  </w:p>
                </w:txbxContent>
              </v:textbox>
              <w10:wrap anchorx="margin" anchory="margin"/>
              <w10:anchorlock/>
            </v:shape>
          </w:pict>
        </mc:Fallback>
      </mc:AlternateContent>
    </w:r>
    <w:r w:rsidR="00244B01">
      <w:fldChar w:fldCharType="begin" w:fldLock="1"/>
    </w:r>
    <w:r w:rsidR="00244B01">
      <w:instrText xml:space="preserve"> DOCPROPERTY bjHeaderEvenPageDocProperty \* MERGEFORMAT </w:instrText>
    </w:r>
    <w:r w:rsidR="00244B01">
      <w:fldChar w:fldCharType="separate"/>
    </w:r>
    <w:r w:rsidR="00244B01" w:rsidRPr="00DE1BD0">
      <w:rPr>
        <w:rFonts w:ascii="Calibri" w:hAnsi="Calibri" w:cs="Calibri"/>
        <w:b/>
        <w:color w:val="F00000"/>
        <w:sz w:val="24"/>
      </w:rPr>
      <w:t>OFFICIAL</w:t>
    </w:r>
  </w:p>
  <w:p w14:paraId="630ECD46" w14:textId="77777777" w:rsidR="00244B01" w:rsidRPr="00DE1BD0" w:rsidRDefault="00244B01" w:rsidP="00DE1BD0">
    <w:pPr>
      <w:pStyle w:val="Header"/>
      <w:jc w:val="center"/>
    </w:pPr>
    <w:r w:rsidRPr="00DE1BD0">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D7B9" w14:textId="6DB38680" w:rsidR="00244B01" w:rsidRPr="00DE1BD0" w:rsidRDefault="00B77F3A" w:rsidP="00DE1BD0">
    <w:pPr>
      <w:pStyle w:val="Header"/>
      <w:jc w:val="center"/>
    </w:pPr>
    <w:r>
      <w:rPr>
        <w:noProof/>
      </w:rPr>
      <mc:AlternateContent>
        <mc:Choice Requires="wps">
          <w:drawing>
            <wp:anchor distT="0" distB="0" distL="114300" distR="114300" simplePos="0" relativeHeight="251659291" behindDoc="0" locked="1" layoutInCell="0" allowOverlap="1" wp14:anchorId="1B3BC148" wp14:editId="3D3D0819">
              <wp:simplePos x="0" y="0"/>
              <wp:positionH relativeFrom="margin">
                <wp:align>center</wp:align>
              </wp:positionH>
              <wp:positionV relativeFrom="topMargin">
                <wp:align>center</wp:align>
              </wp:positionV>
              <wp:extent cx="892175" cy="27305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4CEACC" w14:textId="011F407B" w:rsidR="00B77F3A" w:rsidRPr="00B77F3A" w:rsidRDefault="00B77F3A" w:rsidP="00B77F3A">
                          <w:pPr>
                            <w:jc w:val="center"/>
                            <w:rPr>
                              <w:b/>
                              <w:color w:val="FF0000"/>
                              <w:sz w:val="24"/>
                            </w:rPr>
                          </w:pPr>
                          <w:r w:rsidRPr="00B77F3A">
                            <w:rPr>
                              <w:b/>
                              <w:color w:val="FF0000"/>
                              <w:sz w:val="24"/>
                            </w:rPr>
                            <w:fldChar w:fldCharType="begin"/>
                          </w:r>
                          <w:r w:rsidRPr="00B77F3A">
                            <w:rPr>
                              <w:b/>
                              <w:color w:val="FF0000"/>
                              <w:sz w:val="24"/>
                            </w:rPr>
                            <w:instrText xml:space="preserve"> DOCPROPERTY PM_ProtectiveMarkingValue_Header \* MERGEFORMAT </w:instrText>
                          </w:r>
                          <w:r w:rsidRPr="00B77F3A">
                            <w:rPr>
                              <w:b/>
                              <w:color w:val="FF0000"/>
                              <w:sz w:val="24"/>
                            </w:rPr>
                            <w:fldChar w:fldCharType="separate"/>
                          </w:r>
                          <w:r>
                            <w:rPr>
                              <w:b/>
                              <w:color w:val="FF0000"/>
                              <w:sz w:val="24"/>
                            </w:rPr>
                            <w:t>OFFICIAL</w:t>
                          </w:r>
                          <w:r w:rsidRPr="00B77F3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3BC148" id="_x0000_t202" coordsize="21600,21600" o:spt="202" path="m,l,21600r21600,l21600,xe">
              <v:stroke joinstyle="miter"/>
              <v:path gradientshapeok="t" o:connecttype="rect"/>
            </v:shapetype>
            <v:shape id="janusSEAL SC Header" o:spid="_x0000_s1032" type="#_x0000_t202" style="position:absolute;left:0;text-align:left;margin-left:0;margin-top:0;width:70.25pt;height:21.5pt;z-index:25165929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DqwMt4YAgAAMQQAAA4AAAAAAAAAAAAAAAAALgIAAGRycy9lMm9Eb2MueG1sUEsBAi0AFAAGAAgA&#10;AAAhAGk6TznbAAAABAEAAA8AAAAAAAAAAAAAAAAAcgQAAGRycy9kb3ducmV2LnhtbFBLBQYAAAAA&#10;BAAEAPMAAAB6BQAAAAA=&#10;" o:allowincell="f" filled="f" stroked="f" strokeweight=".5pt">
              <v:fill o:detectmouseclick="t"/>
              <v:textbox style="mso-fit-shape-to-text:t">
                <w:txbxContent>
                  <w:p w14:paraId="324CEACC" w14:textId="011F407B" w:rsidR="00B77F3A" w:rsidRPr="00B77F3A" w:rsidRDefault="00B77F3A" w:rsidP="00B77F3A">
                    <w:pPr>
                      <w:jc w:val="center"/>
                      <w:rPr>
                        <w:b/>
                        <w:color w:val="FF0000"/>
                        <w:sz w:val="24"/>
                      </w:rPr>
                    </w:pPr>
                    <w:r w:rsidRPr="00B77F3A">
                      <w:rPr>
                        <w:b/>
                        <w:color w:val="FF0000"/>
                        <w:sz w:val="24"/>
                      </w:rPr>
                      <w:fldChar w:fldCharType="begin"/>
                    </w:r>
                    <w:r w:rsidRPr="00B77F3A">
                      <w:rPr>
                        <w:b/>
                        <w:color w:val="FF0000"/>
                        <w:sz w:val="24"/>
                      </w:rPr>
                      <w:instrText xml:space="preserve"> DOCPROPERTY PM_ProtectiveMarkingValue_Header \* MERGEFORMAT </w:instrText>
                    </w:r>
                    <w:r w:rsidRPr="00B77F3A">
                      <w:rPr>
                        <w:b/>
                        <w:color w:val="FF0000"/>
                        <w:sz w:val="24"/>
                      </w:rPr>
                      <w:fldChar w:fldCharType="separate"/>
                    </w:r>
                    <w:r>
                      <w:rPr>
                        <w:b/>
                        <w:color w:val="FF0000"/>
                        <w:sz w:val="24"/>
                      </w:rPr>
                      <w:t>OFFICIAL</w:t>
                    </w:r>
                    <w:r w:rsidRPr="00B77F3A">
                      <w:rPr>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76EE" w14:textId="6BA38310" w:rsidR="00244B01" w:rsidRPr="00DE1BD0" w:rsidRDefault="00B77F3A" w:rsidP="00DE1BD0">
    <w:pPr>
      <w:pStyle w:val="Header"/>
      <w:jc w:val="center"/>
      <w:rPr>
        <w:rFonts w:ascii="Calibri" w:hAnsi="Calibri" w:cs="Calibri"/>
        <w:b/>
        <w:bCs/>
        <w:color w:val="F00000"/>
        <w:sz w:val="24"/>
      </w:rPr>
    </w:pPr>
    <w:r>
      <w:rPr>
        <w:b/>
        <w:bCs/>
        <w:noProof/>
      </w:rPr>
      <mc:AlternateContent>
        <mc:Choice Requires="wps">
          <w:drawing>
            <wp:anchor distT="0" distB="0" distL="114300" distR="114300" simplePos="0" relativeHeight="251660315" behindDoc="0" locked="1" layoutInCell="0" allowOverlap="1" wp14:anchorId="7AE7F8E4" wp14:editId="616A43E1">
              <wp:simplePos x="0" y="0"/>
              <wp:positionH relativeFrom="margin">
                <wp:align>center</wp:align>
              </wp:positionH>
              <wp:positionV relativeFrom="topMargin">
                <wp:align>center</wp:align>
              </wp:positionV>
              <wp:extent cx="892175" cy="27305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49F165" w14:textId="51B2C4DA" w:rsidR="00B77F3A" w:rsidRPr="00B77F3A" w:rsidRDefault="00B77F3A" w:rsidP="00B77F3A">
                          <w:pPr>
                            <w:jc w:val="center"/>
                            <w:rPr>
                              <w:b/>
                              <w:color w:val="FF0000"/>
                              <w:sz w:val="24"/>
                            </w:rPr>
                          </w:pPr>
                          <w:r w:rsidRPr="00B77F3A">
                            <w:rPr>
                              <w:b/>
                              <w:color w:val="FF0000"/>
                              <w:sz w:val="24"/>
                            </w:rPr>
                            <w:fldChar w:fldCharType="begin"/>
                          </w:r>
                          <w:r w:rsidRPr="00B77F3A">
                            <w:rPr>
                              <w:b/>
                              <w:color w:val="FF0000"/>
                              <w:sz w:val="24"/>
                            </w:rPr>
                            <w:instrText xml:space="preserve"> DOCPROPERTY PM_ProtectiveMarkingValue_Header \* MERGEFORMAT </w:instrText>
                          </w:r>
                          <w:r w:rsidRPr="00B77F3A">
                            <w:rPr>
                              <w:b/>
                              <w:color w:val="FF0000"/>
                              <w:sz w:val="24"/>
                            </w:rPr>
                            <w:fldChar w:fldCharType="separate"/>
                          </w:r>
                          <w:r>
                            <w:rPr>
                              <w:b/>
                              <w:color w:val="FF0000"/>
                              <w:sz w:val="24"/>
                            </w:rPr>
                            <w:t>OFFICIAL</w:t>
                          </w:r>
                          <w:r w:rsidRPr="00B77F3A">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AE7F8E4" id="_x0000_t202" coordsize="21600,21600" o:spt="202" path="m,l,21600r21600,l21600,xe">
              <v:stroke joinstyle="miter"/>
              <v:path gradientshapeok="t" o:connecttype="rect"/>
            </v:shapetype>
            <v:shape id="janusSEAL SC H_FirstPage" o:spid="_x0000_s1040" type="#_x0000_t202" style="position:absolute;left:0;text-align:left;margin-left:0;margin-top:0;width:70.25pt;height:21.5pt;z-index:25166031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VC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XZznWFO+x3iWDsw7IxcVmlgK&#10;51+FBdWYCPL1L1iKmlCMjhZnJdmff7sP8WAAXs5aSCfjGtrmrP6uwcz9YDQKSouH0XgyxMFee9bX&#10;Hr1tHgnaHOCbGBnNEO/rk1lYat6h8XmoCZfQEpUz7k/moz/IGX9Eqvk8BkFbRvilXhkZUgfoAsBv&#10;3buw5siCB33PdJKYSD+QcYgNL52Zbz0oiUwFmA+YHtGHLiOBxz8UhH99jlGXnz77BQ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AYV1UIYAgAAMQQAAA4AAAAAAAAAAAAAAAAALgIAAGRycy9lMm9Eb2MueG1sUEsBAi0AFAAGAAgA&#10;AAAhAGk6TznbAAAABAEAAA8AAAAAAAAAAAAAAAAAcgQAAGRycy9kb3ducmV2LnhtbFBLBQYAAAAA&#10;BAAEAPMAAAB6BQAAAAA=&#10;" o:allowincell="f" filled="f" stroked="f" strokeweight=".5pt">
              <v:fill o:detectmouseclick="t"/>
              <v:textbox style="mso-fit-shape-to-text:t">
                <w:txbxContent>
                  <w:p w14:paraId="7F49F165" w14:textId="51B2C4DA" w:rsidR="00B77F3A" w:rsidRPr="00B77F3A" w:rsidRDefault="00B77F3A" w:rsidP="00B77F3A">
                    <w:pPr>
                      <w:jc w:val="center"/>
                      <w:rPr>
                        <w:b/>
                        <w:color w:val="FF0000"/>
                        <w:sz w:val="24"/>
                      </w:rPr>
                    </w:pPr>
                    <w:r w:rsidRPr="00B77F3A">
                      <w:rPr>
                        <w:b/>
                        <w:color w:val="FF0000"/>
                        <w:sz w:val="24"/>
                      </w:rPr>
                      <w:fldChar w:fldCharType="begin"/>
                    </w:r>
                    <w:r w:rsidRPr="00B77F3A">
                      <w:rPr>
                        <w:b/>
                        <w:color w:val="FF0000"/>
                        <w:sz w:val="24"/>
                      </w:rPr>
                      <w:instrText xml:space="preserve"> DOCPROPERTY PM_ProtectiveMarkingValue_Header \* MERGEFORMAT </w:instrText>
                    </w:r>
                    <w:r w:rsidRPr="00B77F3A">
                      <w:rPr>
                        <w:b/>
                        <w:color w:val="FF0000"/>
                        <w:sz w:val="24"/>
                      </w:rPr>
                      <w:fldChar w:fldCharType="separate"/>
                    </w:r>
                    <w:r>
                      <w:rPr>
                        <w:b/>
                        <w:color w:val="FF0000"/>
                        <w:sz w:val="24"/>
                      </w:rPr>
                      <w:t>OFFICIAL</w:t>
                    </w:r>
                    <w:r w:rsidRPr="00B77F3A">
                      <w:rPr>
                        <w:b/>
                        <w:color w:val="FF0000"/>
                        <w:sz w:val="24"/>
                      </w:rPr>
                      <w:fldChar w:fldCharType="end"/>
                    </w:r>
                  </w:p>
                </w:txbxContent>
              </v:textbox>
              <w10:wrap anchorx="margin" anchory="margin"/>
              <w10:anchorlock/>
            </v:shape>
          </w:pict>
        </mc:Fallback>
      </mc:AlternateContent>
    </w:r>
    <w:r w:rsidR="004D420D">
      <w:rPr>
        <w:b/>
        <w:bCs/>
        <w:noProof/>
      </w:rPr>
      <mc:AlternateContent>
        <mc:Choice Requires="wps">
          <w:drawing>
            <wp:anchor distT="0" distB="0" distL="114300" distR="114300" simplePos="0" relativeHeight="251658263" behindDoc="0" locked="1" layoutInCell="0" allowOverlap="1" wp14:anchorId="0B16A01F" wp14:editId="5E86BBA6">
              <wp:simplePos x="0" y="0"/>
              <wp:positionH relativeFrom="margin">
                <wp:align>center</wp:align>
              </wp:positionH>
              <wp:positionV relativeFrom="topMargin">
                <wp:align>center</wp:align>
              </wp:positionV>
              <wp:extent cx="892175" cy="2730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619A10" w14:textId="41A6C6B1" w:rsidR="004D420D" w:rsidRPr="004D420D" w:rsidRDefault="004D420D" w:rsidP="004D420D">
                          <w:pPr>
                            <w:jc w:val="center"/>
                            <w:rPr>
                              <w:b/>
                              <w:color w:val="FF0000"/>
                              <w:sz w:val="24"/>
                            </w:rPr>
                          </w:pPr>
                          <w:r w:rsidRPr="004D420D">
                            <w:rPr>
                              <w:b/>
                              <w:color w:val="FF0000"/>
                              <w:sz w:val="24"/>
                            </w:rPr>
                            <w:fldChar w:fldCharType="begin"/>
                          </w:r>
                          <w:r w:rsidRPr="004D420D">
                            <w:rPr>
                              <w:b/>
                              <w:color w:val="FF0000"/>
                              <w:sz w:val="24"/>
                            </w:rPr>
                            <w:instrText xml:space="preserve"> DOCPROPERTY PM_ProtectiveMarkingValue_Header \* MERGEFORMAT </w:instrText>
                          </w:r>
                          <w:r w:rsidRPr="004D420D">
                            <w:rPr>
                              <w:b/>
                              <w:color w:val="FF0000"/>
                              <w:sz w:val="24"/>
                            </w:rPr>
                            <w:fldChar w:fldCharType="separate"/>
                          </w:r>
                          <w:r w:rsidR="00B77F3A">
                            <w:rPr>
                              <w:b/>
                              <w:color w:val="FF0000"/>
                              <w:sz w:val="24"/>
                            </w:rPr>
                            <w:t>OFFICIAL</w:t>
                          </w:r>
                          <w:r w:rsidRPr="004D420D">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16A01F" id="Text Box 26" o:spid="_x0000_s1041" type="#_x0000_t202" style="position:absolute;left:0;text-align:left;margin-left:0;margin-top:0;width:70.25pt;height:21.5pt;z-index:25165826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auGA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8QOwtWa8j3Gs3Rg3hm5qNDE&#10;Ujj/KiyoxkSQr3/BUtSEYnS0OCvJ/vzbfYgHA/By1kI6GdfQNmf1dw1m7gejUVBaPIzGkyEO9tqz&#10;vvbobfNI0OYA38TIaIZ4X5/MwlLzDo3PQ024hJaonHF/Mh/9Qc74I1LN5zEI2jLCL/XKyJA6QBcA&#10;fuvehTVHFjzoe6aTxET6gYxDbHjpzHzrQUlk6oLpEX3oMhJ4/ENB+NfnGHX56bNfAA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wdJq4YAgAAMQQAAA4AAAAAAAAAAAAAAAAALgIAAGRycy9lMm9Eb2MueG1sUEsBAi0AFAAGAAgA&#10;AAAhAGk6TznbAAAABAEAAA8AAAAAAAAAAAAAAAAAcgQAAGRycy9kb3ducmV2LnhtbFBLBQYAAAAA&#10;BAAEAPMAAAB6BQAAAAA=&#10;" o:allowincell="f" filled="f" stroked="f" strokeweight=".5pt">
              <v:textbox style="mso-fit-shape-to-text:t">
                <w:txbxContent>
                  <w:p w14:paraId="32619A10" w14:textId="41A6C6B1" w:rsidR="004D420D" w:rsidRPr="004D420D" w:rsidRDefault="004D420D" w:rsidP="004D420D">
                    <w:pPr>
                      <w:jc w:val="center"/>
                      <w:rPr>
                        <w:b/>
                        <w:color w:val="FF0000"/>
                        <w:sz w:val="24"/>
                      </w:rPr>
                    </w:pPr>
                    <w:r w:rsidRPr="004D420D">
                      <w:rPr>
                        <w:b/>
                        <w:color w:val="FF0000"/>
                        <w:sz w:val="24"/>
                      </w:rPr>
                      <w:fldChar w:fldCharType="begin"/>
                    </w:r>
                    <w:r w:rsidRPr="004D420D">
                      <w:rPr>
                        <w:b/>
                        <w:color w:val="FF0000"/>
                        <w:sz w:val="24"/>
                      </w:rPr>
                      <w:instrText xml:space="preserve"> DOCPROPERTY PM_ProtectiveMarkingValue_Header \* MERGEFORMAT </w:instrText>
                    </w:r>
                    <w:r w:rsidRPr="004D420D">
                      <w:rPr>
                        <w:b/>
                        <w:color w:val="FF0000"/>
                        <w:sz w:val="24"/>
                      </w:rPr>
                      <w:fldChar w:fldCharType="separate"/>
                    </w:r>
                    <w:r w:rsidR="00B77F3A">
                      <w:rPr>
                        <w:b/>
                        <w:color w:val="FF0000"/>
                        <w:sz w:val="24"/>
                      </w:rPr>
                      <w:t>OFFICIAL</w:t>
                    </w:r>
                    <w:r w:rsidRPr="004D420D">
                      <w:rPr>
                        <w:b/>
                        <w:color w:val="FF0000"/>
                        <w:sz w:val="24"/>
                      </w:rPr>
                      <w:fldChar w:fldCharType="end"/>
                    </w:r>
                  </w:p>
                </w:txbxContent>
              </v:textbox>
              <w10:wrap anchorx="margin" anchory="margin"/>
              <w10:anchorlock/>
            </v:shape>
          </w:pict>
        </mc:Fallback>
      </mc:AlternateContent>
    </w:r>
    <w:r w:rsidR="00427BD7">
      <w:rPr>
        <w:b/>
        <w:bCs/>
        <w:noProof/>
      </w:rPr>
      <mc:AlternateContent>
        <mc:Choice Requires="wps">
          <w:drawing>
            <wp:anchor distT="0" distB="0" distL="114300" distR="114300" simplePos="0" relativeHeight="251658257" behindDoc="0" locked="1" layoutInCell="0" allowOverlap="1" wp14:anchorId="7FABAF4F" wp14:editId="1D848AE9">
              <wp:simplePos x="0" y="0"/>
              <wp:positionH relativeFrom="margin">
                <wp:align>center</wp:align>
              </wp:positionH>
              <wp:positionV relativeFrom="topMargin">
                <wp:align>center</wp:align>
              </wp:positionV>
              <wp:extent cx="892175" cy="273050"/>
              <wp:effectExtent l="0" t="0" r="22225" b="12700"/>
              <wp:wrapNone/>
              <wp:docPr id="20" name="Text Box 20"/>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solidFill>
                          <a:prstClr val="black"/>
                        </a:solidFill>
                      </a:ln>
                    </wps:spPr>
                    <wps:txbx>
                      <w:txbxContent>
                        <w:p w14:paraId="12A9659D" w14:textId="33BA4F8A" w:rsidR="00427BD7" w:rsidRPr="00427BD7" w:rsidRDefault="00427BD7" w:rsidP="00427BD7">
                          <w:pPr>
                            <w:jc w:val="center"/>
                            <w:rPr>
                              <w:b/>
                              <w:color w:val="FF0000"/>
                              <w:sz w:val="24"/>
                            </w:rPr>
                          </w:pPr>
                          <w:r w:rsidRPr="00427BD7">
                            <w:rPr>
                              <w:b/>
                              <w:color w:val="FF0000"/>
                              <w:sz w:val="24"/>
                            </w:rPr>
                            <w:fldChar w:fldCharType="begin"/>
                          </w:r>
                          <w:r w:rsidRPr="00427BD7">
                            <w:rPr>
                              <w:b/>
                              <w:color w:val="FF0000"/>
                              <w:sz w:val="24"/>
                            </w:rPr>
                            <w:instrText xml:space="preserve"> DOCPROPERTY PM_ProtectiveMarkingValue_Header \* MERGEFORMAT </w:instrText>
                          </w:r>
                          <w:r w:rsidRPr="00427BD7">
                            <w:rPr>
                              <w:b/>
                              <w:color w:val="FF0000"/>
                              <w:sz w:val="24"/>
                            </w:rPr>
                            <w:fldChar w:fldCharType="separate"/>
                          </w:r>
                          <w:r w:rsidR="00B77F3A">
                            <w:rPr>
                              <w:b/>
                              <w:color w:val="FF0000"/>
                              <w:sz w:val="24"/>
                            </w:rPr>
                            <w:t>OFFICIAL</w:t>
                          </w:r>
                          <w:r w:rsidRPr="00427BD7">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FABAF4F" id="Text Box 20" o:spid="_x0000_s1042" type="#_x0000_t202" style="position:absolute;left:0;text-align:left;margin-left:0;margin-top:0;width:70.25pt;height:21.5pt;z-index:25165825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" o:allowincell="f" filled="f" strokeweight=".5pt">
              <v:textbox style="mso-fit-shape-to-text:t">
                <w:txbxContent>
                  <w:p w14:paraId="12A9659D" w14:textId="33BA4F8A" w:rsidR="00427BD7" w:rsidRPr="00427BD7" w:rsidRDefault="00427BD7" w:rsidP="00427BD7">
                    <w:pPr>
                      <w:jc w:val="center"/>
                      <w:rPr>
                        <w:b/>
                        <w:color w:val="FF0000"/>
                        <w:sz w:val="24"/>
                      </w:rPr>
                    </w:pPr>
                    <w:r w:rsidRPr="00427BD7">
                      <w:rPr>
                        <w:b/>
                        <w:color w:val="FF0000"/>
                        <w:sz w:val="24"/>
                      </w:rPr>
                      <w:fldChar w:fldCharType="begin"/>
                    </w:r>
                    <w:r w:rsidRPr="00427BD7">
                      <w:rPr>
                        <w:b/>
                        <w:color w:val="FF0000"/>
                        <w:sz w:val="24"/>
                      </w:rPr>
                      <w:instrText xml:space="preserve"> DOCPROPERTY PM_ProtectiveMarkingValue_Header \* MERGEFORMAT </w:instrText>
                    </w:r>
                    <w:r w:rsidRPr="00427BD7">
                      <w:rPr>
                        <w:b/>
                        <w:color w:val="FF0000"/>
                        <w:sz w:val="24"/>
                      </w:rPr>
                      <w:fldChar w:fldCharType="separate"/>
                    </w:r>
                    <w:r w:rsidR="00B77F3A">
                      <w:rPr>
                        <w:b/>
                        <w:color w:val="FF0000"/>
                        <w:sz w:val="24"/>
                      </w:rPr>
                      <w:t>OFFICIAL</w:t>
                    </w:r>
                    <w:r w:rsidRPr="00427BD7">
                      <w:rPr>
                        <w:b/>
                        <w:color w:val="FF0000"/>
                        <w:sz w:val="24"/>
                      </w:rPr>
                      <w:fldChar w:fldCharType="end"/>
                    </w:r>
                  </w:p>
                </w:txbxContent>
              </v:textbox>
              <w10:wrap anchorx="margin" anchory="margin"/>
              <w10:anchorlock/>
            </v:shape>
          </w:pict>
        </mc:Fallback>
      </mc:AlternateContent>
    </w:r>
    <w:r w:rsidR="00221C5B">
      <w:rPr>
        <w:b/>
        <w:bCs/>
        <w:noProof/>
      </w:rPr>
      <mc:AlternateContent>
        <mc:Choice Requires="wps">
          <w:drawing>
            <wp:anchor distT="0" distB="0" distL="114300" distR="114300" simplePos="0" relativeHeight="251658251" behindDoc="0" locked="1" layoutInCell="0" allowOverlap="1" wp14:anchorId="3288ECB3" wp14:editId="30B28823">
              <wp:simplePos x="0" y="0"/>
              <wp:positionH relativeFrom="margin">
                <wp:align>center</wp:align>
              </wp:positionH>
              <wp:positionV relativeFrom="topMargin">
                <wp:align>center</wp:align>
              </wp:positionV>
              <wp:extent cx="892175" cy="273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A94F02" w14:textId="0A5B9BC3" w:rsidR="00221C5B" w:rsidRPr="00221C5B" w:rsidRDefault="00221C5B" w:rsidP="00221C5B">
                          <w:pPr>
                            <w:jc w:val="center"/>
                            <w:rPr>
                              <w:b/>
                              <w:color w:val="FF0000"/>
                              <w:sz w:val="24"/>
                            </w:rPr>
                          </w:pPr>
                          <w:r w:rsidRPr="00221C5B">
                            <w:rPr>
                              <w:b/>
                              <w:color w:val="FF0000"/>
                              <w:sz w:val="24"/>
                            </w:rPr>
                            <w:fldChar w:fldCharType="begin"/>
                          </w:r>
                          <w:r w:rsidRPr="00221C5B">
                            <w:rPr>
                              <w:b/>
                              <w:color w:val="FF0000"/>
                              <w:sz w:val="24"/>
                            </w:rPr>
                            <w:instrText xml:space="preserve"> DOCPROPERTY PM_ProtectiveMarkingValue_Header \* MERGEFORMAT </w:instrText>
                          </w:r>
                          <w:r w:rsidRPr="00221C5B">
                            <w:rPr>
                              <w:b/>
                              <w:color w:val="FF0000"/>
                              <w:sz w:val="24"/>
                            </w:rPr>
                            <w:fldChar w:fldCharType="separate"/>
                          </w:r>
                          <w:r w:rsidR="00B77F3A">
                            <w:rPr>
                              <w:b/>
                              <w:color w:val="FF0000"/>
                              <w:sz w:val="24"/>
                            </w:rPr>
                            <w:t>OFFICIAL</w:t>
                          </w:r>
                          <w:r w:rsidRPr="00221C5B">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88ECB3" id="Text Box 7" o:spid="_x0000_s1043" type="#_x0000_t202" style="position:absolute;left:0;text-align:left;margin-left:0;margin-top:0;width:70.25pt;height:21.5pt;z-index:25165825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lUZhMGQIAADEEAAAOAAAAAAAAAAAAAAAAAC4CAABkcnMvZTJvRG9jLnhtbFBLAQItABQABgAI&#10;AAAAIQBpOk852wAAAAQBAAAPAAAAAAAAAAAAAAAAAHMEAABkcnMvZG93bnJldi54bWxQSwUGAAAA&#10;AAQABADzAAAAewUAAAAA&#10;" o:allowincell="f" filled="f" stroked="f" strokeweight=".5pt">
              <v:textbox style="mso-fit-shape-to-text:t">
                <w:txbxContent>
                  <w:p w14:paraId="27A94F02" w14:textId="0A5B9BC3" w:rsidR="00221C5B" w:rsidRPr="00221C5B" w:rsidRDefault="00221C5B" w:rsidP="00221C5B">
                    <w:pPr>
                      <w:jc w:val="center"/>
                      <w:rPr>
                        <w:b/>
                        <w:color w:val="FF0000"/>
                        <w:sz w:val="24"/>
                      </w:rPr>
                    </w:pPr>
                    <w:r w:rsidRPr="00221C5B">
                      <w:rPr>
                        <w:b/>
                        <w:color w:val="FF0000"/>
                        <w:sz w:val="24"/>
                      </w:rPr>
                      <w:fldChar w:fldCharType="begin"/>
                    </w:r>
                    <w:r w:rsidRPr="00221C5B">
                      <w:rPr>
                        <w:b/>
                        <w:color w:val="FF0000"/>
                        <w:sz w:val="24"/>
                      </w:rPr>
                      <w:instrText xml:space="preserve"> DOCPROPERTY PM_ProtectiveMarkingValue_Header \* MERGEFORMAT </w:instrText>
                    </w:r>
                    <w:r w:rsidRPr="00221C5B">
                      <w:rPr>
                        <w:b/>
                        <w:color w:val="FF0000"/>
                        <w:sz w:val="24"/>
                      </w:rPr>
                      <w:fldChar w:fldCharType="separate"/>
                    </w:r>
                    <w:r w:rsidR="00B77F3A">
                      <w:rPr>
                        <w:b/>
                        <w:color w:val="FF0000"/>
                        <w:sz w:val="24"/>
                      </w:rPr>
                      <w:t>OFFICIAL</w:t>
                    </w:r>
                    <w:r w:rsidRPr="00221C5B">
                      <w:rPr>
                        <w:b/>
                        <w:color w:val="FF0000"/>
                        <w:sz w:val="24"/>
                      </w:rPr>
                      <w:fldChar w:fldCharType="end"/>
                    </w:r>
                  </w:p>
                </w:txbxContent>
              </v:textbox>
              <w10:wrap anchorx="margin" anchory="margin"/>
              <w10:anchorlock/>
            </v:shape>
          </w:pict>
        </mc:Fallback>
      </mc:AlternateContent>
    </w:r>
    <w:r w:rsidR="0000155C">
      <w:rPr>
        <w:b/>
        <w:bCs/>
        <w:noProof/>
      </w:rPr>
      <mc:AlternateContent>
        <mc:Choice Requires="wps">
          <w:drawing>
            <wp:anchor distT="0" distB="0" distL="114300" distR="114300" simplePos="0" relativeHeight="251658244" behindDoc="0" locked="1" layoutInCell="0" allowOverlap="1" wp14:anchorId="4B1412DB" wp14:editId="490F8B8D">
              <wp:simplePos x="0" y="0"/>
              <wp:positionH relativeFrom="margin">
                <wp:align>center</wp:align>
              </wp:positionH>
              <wp:positionV relativeFrom="topMargin">
                <wp:align>center</wp:align>
              </wp:positionV>
              <wp:extent cx="892175" cy="2730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B40A51" w14:textId="1C976E81" w:rsidR="0000155C" w:rsidRPr="0000155C" w:rsidRDefault="0000155C" w:rsidP="0000155C">
                          <w:pPr>
                            <w:jc w:val="center"/>
                            <w:rPr>
                              <w:b/>
                              <w:color w:val="FF0000"/>
                              <w:sz w:val="24"/>
                            </w:rPr>
                          </w:pPr>
                          <w:r w:rsidRPr="0000155C">
                            <w:rPr>
                              <w:b/>
                              <w:color w:val="FF0000"/>
                              <w:sz w:val="24"/>
                            </w:rPr>
                            <w:fldChar w:fldCharType="begin"/>
                          </w:r>
                          <w:r w:rsidRPr="0000155C">
                            <w:rPr>
                              <w:b/>
                              <w:color w:val="FF0000"/>
                              <w:sz w:val="24"/>
                            </w:rPr>
                            <w:instrText xml:space="preserve"> DOCPROPERTY PM_ProtectiveMarkingValue_Header \* MERGEFORMAT </w:instrText>
                          </w:r>
                          <w:r w:rsidRPr="0000155C">
                            <w:rPr>
                              <w:b/>
                              <w:color w:val="FF0000"/>
                              <w:sz w:val="24"/>
                            </w:rPr>
                            <w:fldChar w:fldCharType="separate"/>
                          </w:r>
                          <w:r w:rsidR="00B77F3A">
                            <w:rPr>
                              <w:b/>
                              <w:color w:val="FF0000"/>
                              <w:sz w:val="24"/>
                            </w:rPr>
                            <w:t>OFFICIAL</w:t>
                          </w:r>
                          <w:r w:rsidRPr="0000155C">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1412DB" id="Text Box 12" o:spid="_x0000_s1044" type="#_x0000_t202" style="position:absolute;left:0;text-align:left;margin-left:0;margin-top:0;width:70.25pt;height:21.5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" o:allowincell="f" filled="f" stroked="f" strokeweight=".5pt">
              <v:textbox style="mso-fit-shape-to-text:t">
                <w:txbxContent>
                  <w:p w14:paraId="11B40A51" w14:textId="1C976E81" w:rsidR="0000155C" w:rsidRPr="0000155C" w:rsidRDefault="0000155C" w:rsidP="0000155C">
                    <w:pPr>
                      <w:jc w:val="center"/>
                      <w:rPr>
                        <w:b/>
                        <w:color w:val="FF0000"/>
                        <w:sz w:val="24"/>
                      </w:rPr>
                    </w:pPr>
                    <w:r w:rsidRPr="0000155C">
                      <w:rPr>
                        <w:b/>
                        <w:color w:val="FF0000"/>
                        <w:sz w:val="24"/>
                      </w:rPr>
                      <w:fldChar w:fldCharType="begin"/>
                    </w:r>
                    <w:r w:rsidRPr="0000155C">
                      <w:rPr>
                        <w:b/>
                        <w:color w:val="FF0000"/>
                        <w:sz w:val="24"/>
                      </w:rPr>
                      <w:instrText xml:space="preserve"> DOCPROPERTY PM_ProtectiveMarkingValue_Header \* MERGEFORMAT </w:instrText>
                    </w:r>
                    <w:r w:rsidRPr="0000155C">
                      <w:rPr>
                        <w:b/>
                        <w:color w:val="FF0000"/>
                        <w:sz w:val="24"/>
                      </w:rPr>
                      <w:fldChar w:fldCharType="separate"/>
                    </w:r>
                    <w:r w:rsidR="00B77F3A">
                      <w:rPr>
                        <w:b/>
                        <w:color w:val="FF0000"/>
                        <w:sz w:val="24"/>
                      </w:rPr>
                      <w:t>OFFICIAL</w:t>
                    </w:r>
                    <w:r w:rsidRPr="0000155C">
                      <w:rPr>
                        <w:b/>
                        <w:color w:val="FF0000"/>
                        <w:sz w:val="24"/>
                      </w:rPr>
                      <w:fldChar w:fldCharType="end"/>
                    </w:r>
                  </w:p>
                </w:txbxContent>
              </v:textbox>
              <w10:wrap anchorx="margin" anchory="margin"/>
              <w10:anchorlock/>
            </v:shape>
          </w:pict>
        </mc:Fallback>
      </mc:AlternateContent>
    </w:r>
    <w:r w:rsidR="00104C55">
      <w:rPr>
        <w:b/>
        <w:bCs/>
        <w:noProof/>
      </w:rPr>
      <mc:AlternateContent>
        <mc:Choice Requires="wps">
          <w:drawing>
            <wp:anchor distT="0" distB="0" distL="114300" distR="114300" simplePos="0" relativeHeight="251658240" behindDoc="0" locked="1" layoutInCell="0" allowOverlap="1" wp14:anchorId="37B2BAC6" wp14:editId="1BDAAA65">
              <wp:simplePos x="0" y="0"/>
              <wp:positionH relativeFrom="margin">
                <wp:align>center</wp:align>
              </wp:positionH>
              <wp:positionV relativeFrom="topMargin">
                <wp:align>center</wp:align>
              </wp:positionV>
              <wp:extent cx="892175" cy="273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47D747" w14:textId="0852DDEB" w:rsidR="00104C55" w:rsidRPr="00E034B8" w:rsidRDefault="00104C55" w:rsidP="00E034B8">
                          <w:pPr>
                            <w:jc w:val="center"/>
                            <w:rPr>
                              <w:b/>
                              <w:color w:val="FF0000"/>
                              <w:sz w:val="24"/>
                            </w:rPr>
                          </w:pPr>
                          <w:r w:rsidRPr="00E034B8">
                            <w:rPr>
                              <w:b/>
                              <w:color w:val="FF0000"/>
                              <w:sz w:val="24"/>
                            </w:rPr>
                            <w:fldChar w:fldCharType="begin"/>
                          </w:r>
                          <w:r w:rsidRPr="00E034B8">
                            <w:rPr>
                              <w:b/>
                              <w:color w:val="FF0000"/>
                              <w:sz w:val="24"/>
                            </w:rPr>
                            <w:instrText xml:space="preserve"> DOCPROPERTY PM_ProtectiveMarkingValue_Header \* MERGEFORMAT </w:instrText>
                          </w:r>
                          <w:r w:rsidRPr="00E034B8">
                            <w:rPr>
                              <w:b/>
                              <w:color w:val="FF0000"/>
                              <w:sz w:val="24"/>
                            </w:rPr>
                            <w:fldChar w:fldCharType="separate"/>
                          </w:r>
                          <w:r w:rsidR="00B77F3A">
                            <w:rPr>
                              <w:b/>
                              <w:color w:val="FF0000"/>
                              <w:sz w:val="24"/>
                            </w:rPr>
                            <w:t>OFFICIAL</w:t>
                          </w:r>
                          <w:r w:rsidRPr="00E034B8">
                            <w:rPr>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B2BAC6" id="Text Box 5" o:spid="_x0000_s1045" type="#_x0000_t202" style="position:absolute;left:0;text-align:left;margin-left:0;margin-top:0;width:70.25pt;height:21.5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" o:allowincell="f" filled="f" stroked="f" strokeweight=".5pt">
              <v:textbox style="mso-fit-shape-to-text:t">
                <w:txbxContent>
                  <w:p w14:paraId="6547D747" w14:textId="0852DDEB" w:rsidR="00104C55" w:rsidRPr="00E034B8" w:rsidRDefault="00104C55" w:rsidP="00E034B8">
                    <w:pPr>
                      <w:jc w:val="center"/>
                      <w:rPr>
                        <w:b/>
                        <w:color w:val="FF0000"/>
                        <w:sz w:val="24"/>
                      </w:rPr>
                    </w:pPr>
                    <w:r w:rsidRPr="00E034B8">
                      <w:rPr>
                        <w:b/>
                        <w:color w:val="FF0000"/>
                        <w:sz w:val="24"/>
                      </w:rPr>
                      <w:fldChar w:fldCharType="begin"/>
                    </w:r>
                    <w:r w:rsidRPr="00E034B8">
                      <w:rPr>
                        <w:b/>
                        <w:color w:val="FF0000"/>
                        <w:sz w:val="24"/>
                      </w:rPr>
                      <w:instrText xml:space="preserve"> DOCPROPERTY PM_ProtectiveMarkingValue_Header \* MERGEFORMAT </w:instrText>
                    </w:r>
                    <w:r w:rsidRPr="00E034B8">
                      <w:rPr>
                        <w:b/>
                        <w:color w:val="FF0000"/>
                        <w:sz w:val="24"/>
                      </w:rPr>
                      <w:fldChar w:fldCharType="separate"/>
                    </w:r>
                    <w:r w:rsidR="00B77F3A">
                      <w:rPr>
                        <w:b/>
                        <w:color w:val="FF0000"/>
                        <w:sz w:val="24"/>
                      </w:rPr>
                      <w:t>OFFICIAL</w:t>
                    </w:r>
                    <w:r w:rsidRPr="00E034B8">
                      <w:rPr>
                        <w:b/>
                        <w:color w:val="FF0000"/>
                        <w:sz w:val="24"/>
                      </w:rPr>
                      <w:fldChar w:fldCharType="end"/>
                    </w:r>
                  </w:p>
                </w:txbxContent>
              </v:textbox>
              <w10:wrap anchorx="margin" anchory="margin"/>
              <w10:anchorlock/>
            </v:shape>
          </w:pict>
        </mc:Fallback>
      </mc:AlternateContent>
    </w:r>
    <w:r w:rsidR="00244B01">
      <w:rPr>
        <w:b/>
        <w:bCs/>
      </w:rPr>
      <w:fldChar w:fldCharType="begin" w:fldLock="1"/>
    </w:r>
    <w:r w:rsidR="00244B01">
      <w:rPr>
        <w:b/>
        <w:bCs/>
      </w:rPr>
      <w:instrText xml:space="preserve"> DOCPROPERTY bjHeaderFirstPageDocProperty \* MERGEFORMAT </w:instrText>
    </w:r>
    <w:r w:rsidR="00244B01">
      <w:rPr>
        <w:b/>
        <w:bCs/>
      </w:rPr>
      <w:fldChar w:fldCharType="separate"/>
    </w:r>
    <w:r w:rsidR="00244B01" w:rsidRPr="00DE1BD0">
      <w:rPr>
        <w:rFonts w:ascii="Calibri" w:hAnsi="Calibri" w:cs="Calibri"/>
        <w:b/>
        <w:bCs/>
        <w:color w:val="F00000"/>
        <w:sz w:val="24"/>
      </w:rPr>
      <w:t>OFFICIAL</w:t>
    </w:r>
  </w:p>
  <w:p w14:paraId="7ACC51D0" w14:textId="77777777" w:rsidR="00244B01" w:rsidRDefault="00244B01" w:rsidP="00DE1BD0">
    <w:pPr>
      <w:pStyle w:val="Header"/>
      <w:jc w:val="center"/>
      <w:rPr>
        <w:b/>
        <w:bCs/>
      </w:rPr>
    </w:pPr>
    <w:r w:rsidRPr="00DE1BD0">
      <w:rPr>
        <w:rFonts w:ascii="Calibri" w:hAnsi="Calibri" w:cs="Calibri"/>
        <w:b/>
        <w:bCs/>
        <w:color w:val="F00000"/>
        <w:sz w:val="24"/>
      </w:rPr>
      <w:t xml:space="preserve"> </w:t>
    </w:r>
    <w:r>
      <w:rPr>
        <w:b/>
        <w:bCs/>
      </w:rPr>
      <w:fldChar w:fldCharType="end"/>
    </w:r>
  </w:p>
  <w:p w14:paraId="0B6B921A" w14:textId="77777777" w:rsidR="00244B01" w:rsidRDefault="00244B0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37458E"/>
    <w:multiLevelType w:val="hybridMultilevel"/>
    <w:tmpl w:val="120CB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B0420EA"/>
    <w:multiLevelType w:val="multilevel"/>
    <w:tmpl w:val="6EB0DFB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EE21E3"/>
    <w:multiLevelType w:val="hybridMultilevel"/>
    <w:tmpl w:val="15F00F02"/>
    <w:lvl w:ilvl="0" w:tplc="F120D9B2">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2F28C4"/>
    <w:multiLevelType w:val="multilevel"/>
    <w:tmpl w:val="02AE2E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0A0460"/>
    <w:multiLevelType w:val="hybridMultilevel"/>
    <w:tmpl w:val="57864C24"/>
    <w:lvl w:ilvl="0" w:tplc="0D54B4E6">
      <w:start w:val="1"/>
      <w:numFmt w:val="decimal"/>
      <w:suff w:val="space"/>
      <w:lvlText w:val="Question %1:"/>
      <w:lvlJc w:val="left"/>
      <w:pPr>
        <w:ind w:left="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F64A90"/>
    <w:multiLevelType w:val="multilevel"/>
    <w:tmpl w:val="177C74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38546270">
    <w:abstractNumId w:val="5"/>
  </w:num>
  <w:num w:numId="2" w16cid:durableId="2004774071">
    <w:abstractNumId w:val="9"/>
  </w:num>
  <w:num w:numId="3" w16cid:durableId="1055276271">
    <w:abstractNumId w:val="2"/>
  </w:num>
  <w:num w:numId="4" w16cid:durableId="1642419440">
    <w:abstractNumId w:val="3"/>
  </w:num>
  <w:num w:numId="5" w16cid:durableId="17029025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3392295">
    <w:abstractNumId w:val="10"/>
  </w:num>
  <w:num w:numId="7" w16cid:durableId="1381200060">
    <w:abstractNumId w:val="0"/>
  </w:num>
  <w:num w:numId="8" w16cid:durableId="1108741744">
    <w:abstractNumId w:val="7"/>
  </w:num>
  <w:num w:numId="9" w16cid:durableId="1463645567">
    <w:abstractNumId w:val="6"/>
  </w:num>
  <w:num w:numId="10" w16cid:durableId="947157615">
    <w:abstractNumId w:val="11"/>
  </w:num>
  <w:num w:numId="11" w16cid:durableId="119356839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1164915">
    <w:abstractNumId w:val="4"/>
  </w:num>
  <w:num w:numId="13" w16cid:durableId="128373230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C1B"/>
    <w:rsid w:val="00000898"/>
    <w:rsid w:val="0000155C"/>
    <w:rsid w:val="00001CF2"/>
    <w:rsid w:val="0000247B"/>
    <w:rsid w:val="0000469B"/>
    <w:rsid w:val="00011B98"/>
    <w:rsid w:val="00012C16"/>
    <w:rsid w:val="00012DD7"/>
    <w:rsid w:val="000200B2"/>
    <w:rsid w:val="000205A3"/>
    <w:rsid w:val="00022223"/>
    <w:rsid w:val="00027DAC"/>
    <w:rsid w:val="000319AB"/>
    <w:rsid w:val="0003203D"/>
    <w:rsid w:val="00035F73"/>
    <w:rsid w:val="00035FF3"/>
    <w:rsid w:val="00040F24"/>
    <w:rsid w:val="00040F5E"/>
    <w:rsid w:val="00041D68"/>
    <w:rsid w:val="0004594D"/>
    <w:rsid w:val="00047BEF"/>
    <w:rsid w:val="00051021"/>
    <w:rsid w:val="00051ED9"/>
    <w:rsid w:val="00051FD9"/>
    <w:rsid w:val="00053D20"/>
    <w:rsid w:val="0005414D"/>
    <w:rsid w:val="0005604B"/>
    <w:rsid w:val="00057181"/>
    <w:rsid w:val="00060774"/>
    <w:rsid w:val="00062F37"/>
    <w:rsid w:val="0006473A"/>
    <w:rsid w:val="00064B2D"/>
    <w:rsid w:val="00064F85"/>
    <w:rsid w:val="00065419"/>
    <w:rsid w:val="00065F1F"/>
    <w:rsid w:val="00072E60"/>
    <w:rsid w:val="00075464"/>
    <w:rsid w:val="00076D33"/>
    <w:rsid w:val="00077865"/>
    <w:rsid w:val="0008199C"/>
    <w:rsid w:val="0008341F"/>
    <w:rsid w:val="00085C4A"/>
    <w:rsid w:val="00085C79"/>
    <w:rsid w:val="0009227B"/>
    <w:rsid w:val="00092CDA"/>
    <w:rsid w:val="000936CE"/>
    <w:rsid w:val="000A14E4"/>
    <w:rsid w:val="000A27E9"/>
    <w:rsid w:val="000A2F79"/>
    <w:rsid w:val="000A3D8B"/>
    <w:rsid w:val="000A41D7"/>
    <w:rsid w:val="000A5DF8"/>
    <w:rsid w:val="000A6369"/>
    <w:rsid w:val="000A64A5"/>
    <w:rsid w:val="000B0420"/>
    <w:rsid w:val="000B05D0"/>
    <w:rsid w:val="000B0759"/>
    <w:rsid w:val="000B0E6C"/>
    <w:rsid w:val="000B19AF"/>
    <w:rsid w:val="000B481A"/>
    <w:rsid w:val="000B4CDF"/>
    <w:rsid w:val="000B5A04"/>
    <w:rsid w:val="000B5CCB"/>
    <w:rsid w:val="000B6AF2"/>
    <w:rsid w:val="000D08FC"/>
    <w:rsid w:val="000D0FD5"/>
    <w:rsid w:val="000D17F0"/>
    <w:rsid w:val="000D2420"/>
    <w:rsid w:val="000D4027"/>
    <w:rsid w:val="000D54DE"/>
    <w:rsid w:val="000D6FD4"/>
    <w:rsid w:val="000E0AE4"/>
    <w:rsid w:val="000E197D"/>
    <w:rsid w:val="000E3DBC"/>
    <w:rsid w:val="000E4B67"/>
    <w:rsid w:val="000E514C"/>
    <w:rsid w:val="000E531B"/>
    <w:rsid w:val="000F4CF3"/>
    <w:rsid w:val="000F5256"/>
    <w:rsid w:val="000F77EF"/>
    <w:rsid w:val="000F7F7F"/>
    <w:rsid w:val="0010106C"/>
    <w:rsid w:val="00103843"/>
    <w:rsid w:val="00103F68"/>
    <w:rsid w:val="00104C55"/>
    <w:rsid w:val="00105005"/>
    <w:rsid w:val="00105E6A"/>
    <w:rsid w:val="001074F9"/>
    <w:rsid w:val="001104E9"/>
    <w:rsid w:val="001105AA"/>
    <w:rsid w:val="00113CE3"/>
    <w:rsid w:val="00117522"/>
    <w:rsid w:val="00117E1A"/>
    <w:rsid w:val="00124E6B"/>
    <w:rsid w:val="0012519F"/>
    <w:rsid w:val="00126843"/>
    <w:rsid w:val="00127D8B"/>
    <w:rsid w:val="00131E2A"/>
    <w:rsid w:val="00134303"/>
    <w:rsid w:val="001428B5"/>
    <w:rsid w:val="00144EAE"/>
    <w:rsid w:val="0015185A"/>
    <w:rsid w:val="001542D8"/>
    <w:rsid w:val="0015610B"/>
    <w:rsid w:val="0016142C"/>
    <w:rsid w:val="0016155E"/>
    <w:rsid w:val="00164340"/>
    <w:rsid w:val="00166D60"/>
    <w:rsid w:val="0017326C"/>
    <w:rsid w:val="001733ED"/>
    <w:rsid w:val="001757C9"/>
    <w:rsid w:val="0018023C"/>
    <w:rsid w:val="00180C41"/>
    <w:rsid w:val="00182661"/>
    <w:rsid w:val="00182990"/>
    <w:rsid w:val="00182C4C"/>
    <w:rsid w:val="00185DED"/>
    <w:rsid w:val="00192297"/>
    <w:rsid w:val="00194AE0"/>
    <w:rsid w:val="00195EF2"/>
    <w:rsid w:val="00197D8D"/>
    <w:rsid w:val="001A1A75"/>
    <w:rsid w:val="001A2B4B"/>
    <w:rsid w:val="001A33D6"/>
    <w:rsid w:val="001A396D"/>
    <w:rsid w:val="001A3B40"/>
    <w:rsid w:val="001A4153"/>
    <w:rsid w:val="001A4DC6"/>
    <w:rsid w:val="001A58E6"/>
    <w:rsid w:val="001A613B"/>
    <w:rsid w:val="001A7E9A"/>
    <w:rsid w:val="001B14F8"/>
    <w:rsid w:val="001B79E0"/>
    <w:rsid w:val="001C0279"/>
    <w:rsid w:val="001C129C"/>
    <w:rsid w:val="001C27A3"/>
    <w:rsid w:val="001C3146"/>
    <w:rsid w:val="001C5295"/>
    <w:rsid w:val="001C5667"/>
    <w:rsid w:val="001C67FE"/>
    <w:rsid w:val="001D0EAE"/>
    <w:rsid w:val="001D5253"/>
    <w:rsid w:val="001E09FA"/>
    <w:rsid w:val="001E3E6B"/>
    <w:rsid w:val="001E53FB"/>
    <w:rsid w:val="001E5743"/>
    <w:rsid w:val="001E6F77"/>
    <w:rsid w:val="001F0354"/>
    <w:rsid w:val="001F40F7"/>
    <w:rsid w:val="001F428F"/>
    <w:rsid w:val="001F5761"/>
    <w:rsid w:val="001F5EDA"/>
    <w:rsid w:val="00200E1B"/>
    <w:rsid w:val="002017BC"/>
    <w:rsid w:val="00203540"/>
    <w:rsid w:val="002038C4"/>
    <w:rsid w:val="002106B7"/>
    <w:rsid w:val="00214141"/>
    <w:rsid w:val="0021612B"/>
    <w:rsid w:val="0022083A"/>
    <w:rsid w:val="00221C5B"/>
    <w:rsid w:val="00221D07"/>
    <w:rsid w:val="00227E4A"/>
    <w:rsid w:val="00227EAB"/>
    <w:rsid w:val="002326D9"/>
    <w:rsid w:val="0023380B"/>
    <w:rsid w:val="002357FC"/>
    <w:rsid w:val="00236E09"/>
    <w:rsid w:val="0023700C"/>
    <w:rsid w:val="00240B91"/>
    <w:rsid w:val="002418E1"/>
    <w:rsid w:val="00244B01"/>
    <w:rsid w:val="0024582E"/>
    <w:rsid w:val="00245C56"/>
    <w:rsid w:val="00247537"/>
    <w:rsid w:val="00251BF7"/>
    <w:rsid w:val="002534BB"/>
    <w:rsid w:val="002547EF"/>
    <w:rsid w:val="00256D65"/>
    <w:rsid w:val="002571E9"/>
    <w:rsid w:val="0025725A"/>
    <w:rsid w:val="0026114C"/>
    <w:rsid w:val="0026447B"/>
    <w:rsid w:val="00264490"/>
    <w:rsid w:val="002659CC"/>
    <w:rsid w:val="0027003D"/>
    <w:rsid w:val="00271F00"/>
    <w:rsid w:val="00273566"/>
    <w:rsid w:val="00273A80"/>
    <w:rsid w:val="00286A46"/>
    <w:rsid w:val="00290409"/>
    <w:rsid w:val="002906E3"/>
    <w:rsid w:val="00290A3E"/>
    <w:rsid w:val="0029204E"/>
    <w:rsid w:val="0029631C"/>
    <w:rsid w:val="00296A20"/>
    <w:rsid w:val="00296BCF"/>
    <w:rsid w:val="002A0194"/>
    <w:rsid w:val="002A3314"/>
    <w:rsid w:val="002A5F8B"/>
    <w:rsid w:val="002A7F6C"/>
    <w:rsid w:val="002B17EE"/>
    <w:rsid w:val="002B3BE7"/>
    <w:rsid w:val="002B5231"/>
    <w:rsid w:val="002B6F11"/>
    <w:rsid w:val="002C0A8E"/>
    <w:rsid w:val="002C555D"/>
    <w:rsid w:val="002C5DAB"/>
    <w:rsid w:val="002D0B3A"/>
    <w:rsid w:val="002D21D7"/>
    <w:rsid w:val="002D6809"/>
    <w:rsid w:val="002D6FB4"/>
    <w:rsid w:val="002D70CF"/>
    <w:rsid w:val="002E1AB9"/>
    <w:rsid w:val="002F1BD9"/>
    <w:rsid w:val="002F4295"/>
    <w:rsid w:val="002F4987"/>
    <w:rsid w:val="002F4A3D"/>
    <w:rsid w:val="002F6488"/>
    <w:rsid w:val="00302472"/>
    <w:rsid w:val="00303EFE"/>
    <w:rsid w:val="00304999"/>
    <w:rsid w:val="00304CCC"/>
    <w:rsid w:val="00305A53"/>
    <w:rsid w:val="00307AC1"/>
    <w:rsid w:val="00310967"/>
    <w:rsid w:val="00314147"/>
    <w:rsid w:val="00314BEC"/>
    <w:rsid w:val="0031702E"/>
    <w:rsid w:val="00320094"/>
    <w:rsid w:val="00320839"/>
    <w:rsid w:val="003213F9"/>
    <w:rsid w:val="003221AA"/>
    <w:rsid w:val="00323DBF"/>
    <w:rsid w:val="003252AC"/>
    <w:rsid w:val="0032696D"/>
    <w:rsid w:val="00326D85"/>
    <w:rsid w:val="003272E4"/>
    <w:rsid w:val="003309A8"/>
    <w:rsid w:val="00332B12"/>
    <w:rsid w:val="00334BC4"/>
    <w:rsid w:val="00342EA8"/>
    <w:rsid w:val="00344B65"/>
    <w:rsid w:val="00345668"/>
    <w:rsid w:val="00346F83"/>
    <w:rsid w:val="00351B07"/>
    <w:rsid w:val="00352CF2"/>
    <w:rsid w:val="00360BED"/>
    <w:rsid w:val="00364841"/>
    <w:rsid w:val="003667D7"/>
    <w:rsid w:val="00366AED"/>
    <w:rsid w:val="003711BA"/>
    <w:rsid w:val="00371B29"/>
    <w:rsid w:val="00373CAC"/>
    <w:rsid w:val="0037656B"/>
    <w:rsid w:val="003873AA"/>
    <w:rsid w:val="00387B43"/>
    <w:rsid w:val="00390E0F"/>
    <w:rsid w:val="00391693"/>
    <w:rsid w:val="00391769"/>
    <w:rsid w:val="00391AD2"/>
    <w:rsid w:val="00393FBF"/>
    <w:rsid w:val="003953E1"/>
    <w:rsid w:val="003956B3"/>
    <w:rsid w:val="003958AE"/>
    <w:rsid w:val="00397319"/>
    <w:rsid w:val="00397C01"/>
    <w:rsid w:val="003A1AC9"/>
    <w:rsid w:val="003A5F94"/>
    <w:rsid w:val="003A66C7"/>
    <w:rsid w:val="003A68BE"/>
    <w:rsid w:val="003A6CD1"/>
    <w:rsid w:val="003B1805"/>
    <w:rsid w:val="003B253A"/>
    <w:rsid w:val="003B3C9D"/>
    <w:rsid w:val="003B78E0"/>
    <w:rsid w:val="003C1A94"/>
    <w:rsid w:val="003C1ACF"/>
    <w:rsid w:val="003C1C6E"/>
    <w:rsid w:val="003C4969"/>
    <w:rsid w:val="003C57BB"/>
    <w:rsid w:val="003C718F"/>
    <w:rsid w:val="003C7A1F"/>
    <w:rsid w:val="003D7120"/>
    <w:rsid w:val="003E081C"/>
    <w:rsid w:val="003E0D63"/>
    <w:rsid w:val="003E3BD1"/>
    <w:rsid w:val="003E40F6"/>
    <w:rsid w:val="003E41D5"/>
    <w:rsid w:val="003E46BA"/>
    <w:rsid w:val="003E55EA"/>
    <w:rsid w:val="003E5A25"/>
    <w:rsid w:val="003E7625"/>
    <w:rsid w:val="003E7D22"/>
    <w:rsid w:val="003F34F0"/>
    <w:rsid w:val="003F3C02"/>
    <w:rsid w:val="003F46D2"/>
    <w:rsid w:val="003F5FF6"/>
    <w:rsid w:val="003F74C1"/>
    <w:rsid w:val="0040239E"/>
    <w:rsid w:val="00402E31"/>
    <w:rsid w:val="004032BB"/>
    <w:rsid w:val="00405B1A"/>
    <w:rsid w:val="00410C76"/>
    <w:rsid w:val="004113CC"/>
    <w:rsid w:val="00411907"/>
    <w:rsid w:val="00412444"/>
    <w:rsid w:val="004132CF"/>
    <w:rsid w:val="00413CA8"/>
    <w:rsid w:val="00417EE3"/>
    <w:rsid w:val="004207EB"/>
    <w:rsid w:val="00423C27"/>
    <w:rsid w:val="0042663A"/>
    <w:rsid w:val="00427BD7"/>
    <w:rsid w:val="0043103B"/>
    <w:rsid w:val="004316F7"/>
    <w:rsid w:val="00437276"/>
    <w:rsid w:val="00441A48"/>
    <w:rsid w:val="00442113"/>
    <w:rsid w:val="0044691A"/>
    <w:rsid w:val="00447223"/>
    <w:rsid w:val="00454B52"/>
    <w:rsid w:val="004559E0"/>
    <w:rsid w:val="00456B54"/>
    <w:rsid w:val="004604E6"/>
    <w:rsid w:val="00464643"/>
    <w:rsid w:val="00466ED0"/>
    <w:rsid w:val="004678A1"/>
    <w:rsid w:val="0047041E"/>
    <w:rsid w:val="00471356"/>
    <w:rsid w:val="004737B2"/>
    <w:rsid w:val="00474C76"/>
    <w:rsid w:val="004766FD"/>
    <w:rsid w:val="004767EB"/>
    <w:rsid w:val="00477A0E"/>
    <w:rsid w:val="004821A4"/>
    <w:rsid w:val="00486156"/>
    <w:rsid w:val="004862C4"/>
    <w:rsid w:val="00486793"/>
    <w:rsid w:val="0048795A"/>
    <w:rsid w:val="0049510C"/>
    <w:rsid w:val="004958D0"/>
    <w:rsid w:val="00496656"/>
    <w:rsid w:val="00497B2B"/>
    <w:rsid w:val="004A2037"/>
    <w:rsid w:val="004A2455"/>
    <w:rsid w:val="004A2C63"/>
    <w:rsid w:val="004A5B3C"/>
    <w:rsid w:val="004A5E3D"/>
    <w:rsid w:val="004B330B"/>
    <w:rsid w:val="004B3D08"/>
    <w:rsid w:val="004B4A77"/>
    <w:rsid w:val="004B7E31"/>
    <w:rsid w:val="004C0D23"/>
    <w:rsid w:val="004C11A4"/>
    <w:rsid w:val="004C2CE7"/>
    <w:rsid w:val="004C2D4E"/>
    <w:rsid w:val="004C5502"/>
    <w:rsid w:val="004C5A96"/>
    <w:rsid w:val="004C6094"/>
    <w:rsid w:val="004C6649"/>
    <w:rsid w:val="004C7713"/>
    <w:rsid w:val="004C7D7E"/>
    <w:rsid w:val="004D05D2"/>
    <w:rsid w:val="004D420D"/>
    <w:rsid w:val="004E278B"/>
    <w:rsid w:val="004E76D0"/>
    <w:rsid w:val="004F4F98"/>
    <w:rsid w:val="004F69F6"/>
    <w:rsid w:val="004F79AC"/>
    <w:rsid w:val="00500647"/>
    <w:rsid w:val="005017CF"/>
    <w:rsid w:val="005112A4"/>
    <w:rsid w:val="005113FD"/>
    <w:rsid w:val="0051272F"/>
    <w:rsid w:val="00512E5E"/>
    <w:rsid w:val="00515F1C"/>
    <w:rsid w:val="005207D8"/>
    <w:rsid w:val="00522CC8"/>
    <w:rsid w:val="00527679"/>
    <w:rsid w:val="005320F1"/>
    <w:rsid w:val="00532F71"/>
    <w:rsid w:val="0053464E"/>
    <w:rsid w:val="00535944"/>
    <w:rsid w:val="00536501"/>
    <w:rsid w:val="00536B03"/>
    <w:rsid w:val="005400E1"/>
    <w:rsid w:val="0054272D"/>
    <w:rsid w:val="005427E3"/>
    <w:rsid w:val="0054701E"/>
    <w:rsid w:val="00547140"/>
    <w:rsid w:val="00547819"/>
    <w:rsid w:val="00547DA1"/>
    <w:rsid w:val="00551B1F"/>
    <w:rsid w:val="00552EA4"/>
    <w:rsid w:val="00553F43"/>
    <w:rsid w:val="00554BEF"/>
    <w:rsid w:val="005574B7"/>
    <w:rsid w:val="00562917"/>
    <w:rsid w:val="00564A0B"/>
    <w:rsid w:val="0057017F"/>
    <w:rsid w:val="005712D9"/>
    <w:rsid w:val="00571F0C"/>
    <w:rsid w:val="005722F1"/>
    <w:rsid w:val="005729A9"/>
    <w:rsid w:val="00575907"/>
    <w:rsid w:val="00575C09"/>
    <w:rsid w:val="0057615C"/>
    <w:rsid w:val="005779B7"/>
    <w:rsid w:val="00577A8B"/>
    <w:rsid w:val="00582D5A"/>
    <w:rsid w:val="005840A0"/>
    <w:rsid w:val="0058472B"/>
    <w:rsid w:val="00586228"/>
    <w:rsid w:val="00586F77"/>
    <w:rsid w:val="005870C2"/>
    <w:rsid w:val="005904F3"/>
    <w:rsid w:val="00592577"/>
    <w:rsid w:val="0059521D"/>
    <w:rsid w:val="00595F8D"/>
    <w:rsid w:val="00597E88"/>
    <w:rsid w:val="005A1D97"/>
    <w:rsid w:val="005A22FE"/>
    <w:rsid w:val="005A4DB5"/>
    <w:rsid w:val="005A58F3"/>
    <w:rsid w:val="005A67F0"/>
    <w:rsid w:val="005A732C"/>
    <w:rsid w:val="005B27EE"/>
    <w:rsid w:val="005B5B7C"/>
    <w:rsid w:val="005B6AF4"/>
    <w:rsid w:val="005B7A73"/>
    <w:rsid w:val="005B7B55"/>
    <w:rsid w:val="005C04CB"/>
    <w:rsid w:val="005D16AD"/>
    <w:rsid w:val="005D433D"/>
    <w:rsid w:val="005D45AD"/>
    <w:rsid w:val="005D7006"/>
    <w:rsid w:val="005D72E1"/>
    <w:rsid w:val="005E15D8"/>
    <w:rsid w:val="005E1B0A"/>
    <w:rsid w:val="005E2FA3"/>
    <w:rsid w:val="005E5584"/>
    <w:rsid w:val="005E5D6C"/>
    <w:rsid w:val="005E674E"/>
    <w:rsid w:val="005E6E16"/>
    <w:rsid w:val="005E76EE"/>
    <w:rsid w:val="005F23EC"/>
    <w:rsid w:val="005F400E"/>
    <w:rsid w:val="005F4CF6"/>
    <w:rsid w:val="005F646E"/>
    <w:rsid w:val="005F7342"/>
    <w:rsid w:val="005F798E"/>
    <w:rsid w:val="005F7A14"/>
    <w:rsid w:val="00602868"/>
    <w:rsid w:val="00603610"/>
    <w:rsid w:val="00603A08"/>
    <w:rsid w:val="00603F8F"/>
    <w:rsid w:val="00606361"/>
    <w:rsid w:val="006066C6"/>
    <w:rsid w:val="00606C71"/>
    <w:rsid w:val="00610A3C"/>
    <w:rsid w:val="006112B5"/>
    <w:rsid w:val="0061137C"/>
    <w:rsid w:val="0061395E"/>
    <w:rsid w:val="006205A5"/>
    <w:rsid w:val="00620D9E"/>
    <w:rsid w:val="00621EA6"/>
    <w:rsid w:val="00624744"/>
    <w:rsid w:val="006253EE"/>
    <w:rsid w:val="00627454"/>
    <w:rsid w:val="00627F48"/>
    <w:rsid w:val="00630C23"/>
    <w:rsid w:val="00630F3B"/>
    <w:rsid w:val="00632627"/>
    <w:rsid w:val="00632AF3"/>
    <w:rsid w:val="0063317E"/>
    <w:rsid w:val="006339BA"/>
    <w:rsid w:val="00634260"/>
    <w:rsid w:val="00636C06"/>
    <w:rsid w:val="00641307"/>
    <w:rsid w:val="00643F47"/>
    <w:rsid w:val="00645AF8"/>
    <w:rsid w:val="006460AB"/>
    <w:rsid w:val="00651E61"/>
    <w:rsid w:val="00653A07"/>
    <w:rsid w:val="0065617D"/>
    <w:rsid w:val="00657948"/>
    <w:rsid w:val="00660CA7"/>
    <w:rsid w:val="00663FCF"/>
    <w:rsid w:val="006652A2"/>
    <w:rsid w:val="0066533F"/>
    <w:rsid w:val="006706FC"/>
    <w:rsid w:val="006756A4"/>
    <w:rsid w:val="00675CBD"/>
    <w:rsid w:val="0068327D"/>
    <w:rsid w:val="00683A4D"/>
    <w:rsid w:val="006848DE"/>
    <w:rsid w:val="00686C89"/>
    <w:rsid w:val="00690206"/>
    <w:rsid w:val="00691E75"/>
    <w:rsid w:val="00691F36"/>
    <w:rsid w:val="0069297F"/>
    <w:rsid w:val="00693779"/>
    <w:rsid w:val="006937FF"/>
    <w:rsid w:val="00693CBC"/>
    <w:rsid w:val="00693E8A"/>
    <w:rsid w:val="00694663"/>
    <w:rsid w:val="00694BD7"/>
    <w:rsid w:val="006A01D5"/>
    <w:rsid w:val="006A22A3"/>
    <w:rsid w:val="006A3D24"/>
    <w:rsid w:val="006A42B8"/>
    <w:rsid w:val="006A48A7"/>
    <w:rsid w:val="006A58F1"/>
    <w:rsid w:val="006A757C"/>
    <w:rsid w:val="006B4BA1"/>
    <w:rsid w:val="006B5EBE"/>
    <w:rsid w:val="006C2CC4"/>
    <w:rsid w:val="006C4907"/>
    <w:rsid w:val="006C57F4"/>
    <w:rsid w:val="006C5CF5"/>
    <w:rsid w:val="006D011F"/>
    <w:rsid w:val="006D2DA1"/>
    <w:rsid w:val="006D3382"/>
    <w:rsid w:val="006D5E56"/>
    <w:rsid w:val="006D76F2"/>
    <w:rsid w:val="006E11C7"/>
    <w:rsid w:val="006E3F7F"/>
    <w:rsid w:val="006E48BB"/>
    <w:rsid w:val="006F0940"/>
    <w:rsid w:val="006F2A5C"/>
    <w:rsid w:val="006F2AFD"/>
    <w:rsid w:val="006F4A82"/>
    <w:rsid w:val="006F502E"/>
    <w:rsid w:val="006F59CD"/>
    <w:rsid w:val="006F6588"/>
    <w:rsid w:val="006F7330"/>
    <w:rsid w:val="00701C8F"/>
    <w:rsid w:val="00701F13"/>
    <w:rsid w:val="00702338"/>
    <w:rsid w:val="007023BF"/>
    <w:rsid w:val="0070373B"/>
    <w:rsid w:val="007037B4"/>
    <w:rsid w:val="007120F8"/>
    <w:rsid w:val="007145AC"/>
    <w:rsid w:val="0072340D"/>
    <w:rsid w:val="00724FA4"/>
    <w:rsid w:val="00730800"/>
    <w:rsid w:val="00733EA9"/>
    <w:rsid w:val="00736936"/>
    <w:rsid w:val="00736C1B"/>
    <w:rsid w:val="007413C5"/>
    <w:rsid w:val="00742BEA"/>
    <w:rsid w:val="00743116"/>
    <w:rsid w:val="007466EB"/>
    <w:rsid w:val="00751A9A"/>
    <w:rsid w:val="00752844"/>
    <w:rsid w:val="00754FF7"/>
    <w:rsid w:val="00755B0E"/>
    <w:rsid w:val="00756870"/>
    <w:rsid w:val="00756BF5"/>
    <w:rsid w:val="00756E5F"/>
    <w:rsid w:val="0075700B"/>
    <w:rsid w:val="00757CE0"/>
    <w:rsid w:val="007602AA"/>
    <w:rsid w:val="007611D8"/>
    <w:rsid w:val="00763072"/>
    <w:rsid w:val="007652EF"/>
    <w:rsid w:val="00765409"/>
    <w:rsid w:val="00765EA0"/>
    <w:rsid w:val="00772BDC"/>
    <w:rsid w:val="0077415E"/>
    <w:rsid w:val="0077534C"/>
    <w:rsid w:val="00777456"/>
    <w:rsid w:val="007804F3"/>
    <w:rsid w:val="00780792"/>
    <w:rsid w:val="00784849"/>
    <w:rsid w:val="007850E0"/>
    <w:rsid w:val="00785AA0"/>
    <w:rsid w:val="00787FA7"/>
    <w:rsid w:val="007906C2"/>
    <w:rsid w:val="007909BC"/>
    <w:rsid w:val="007921E3"/>
    <w:rsid w:val="007930BF"/>
    <w:rsid w:val="00793A95"/>
    <w:rsid w:val="00793B6E"/>
    <w:rsid w:val="00796562"/>
    <w:rsid w:val="00797199"/>
    <w:rsid w:val="007A1525"/>
    <w:rsid w:val="007A2138"/>
    <w:rsid w:val="007A44B4"/>
    <w:rsid w:val="007A5A82"/>
    <w:rsid w:val="007A7D3D"/>
    <w:rsid w:val="007B225D"/>
    <w:rsid w:val="007B2E2D"/>
    <w:rsid w:val="007B650C"/>
    <w:rsid w:val="007B7513"/>
    <w:rsid w:val="007C174F"/>
    <w:rsid w:val="007C1C64"/>
    <w:rsid w:val="007C1EA5"/>
    <w:rsid w:val="007C285D"/>
    <w:rsid w:val="007C5FC6"/>
    <w:rsid w:val="007D03EA"/>
    <w:rsid w:val="007D2295"/>
    <w:rsid w:val="007D2A6C"/>
    <w:rsid w:val="007D3005"/>
    <w:rsid w:val="007D3C47"/>
    <w:rsid w:val="007D3EF3"/>
    <w:rsid w:val="007D5560"/>
    <w:rsid w:val="007D78D9"/>
    <w:rsid w:val="007E1D0F"/>
    <w:rsid w:val="007E48BC"/>
    <w:rsid w:val="007E79F7"/>
    <w:rsid w:val="007F3630"/>
    <w:rsid w:val="007F534E"/>
    <w:rsid w:val="007F563D"/>
    <w:rsid w:val="007F5832"/>
    <w:rsid w:val="007F5C2C"/>
    <w:rsid w:val="00800512"/>
    <w:rsid w:val="00802583"/>
    <w:rsid w:val="0080332C"/>
    <w:rsid w:val="008047FF"/>
    <w:rsid w:val="008053FD"/>
    <w:rsid w:val="00807559"/>
    <w:rsid w:val="00810841"/>
    <w:rsid w:val="00813634"/>
    <w:rsid w:val="00814F71"/>
    <w:rsid w:val="00815352"/>
    <w:rsid w:val="00815DC5"/>
    <w:rsid w:val="00816C4B"/>
    <w:rsid w:val="008200B9"/>
    <w:rsid w:val="00820AF5"/>
    <w:rsid w:val="00821EE0"/>
    <w:rsid w:val="00824216"/>
    <w:rsid w:val="00827530"/>
    <w:rsid w:val="00830A6C"/>
    <w:rsid w:val="00836195"/>
    <w:rsid w:val="00837BDA"/>
    <w:rsid w:val="00840829"/>
    <w:rsid w:val="0084132C"/>
    <w:rsid w:val="008425DD"/>
    <w:rsid w:val="00842E77"/>
    <w:rsid w:val="008450BC"/>
    <w:rsid w:val="008456B5"/>
    <w:rsid w:val="0084715C"/>
    <w:rsid w:val="008514F0"/>
    <w:rsid w:val="0085334B"/>
    <w:rsid w:val="00853500"/>
    <w:rsid w:val="008556FF"/>
    <w:rsid w:val="00855EE3"/>
    <w:rsid w:val="008564E5"/>
    <w:rsid w:val="008604FA"/>
    <w:rsid w:val="008606A4"/>
    <w:rsid w:val="00866D23"/>
    <w:rsid w:val="00867DC5"/>
    <w:rsid w:val="00870214"/>
    <w:rsid w:val="00870382"/>
    <w:rsid w:val="00870831"/>
    <w:rsid w:val="00874934"/>
    <w:rsid w:val="00885C51"/>
    <w:rsid w:val="00885EB0"/>
    <w:rsid w:val="00891F4B"/>
    <w:rsid w:val="0089264A"/>
    <w:rsid w:val="00892A10"/>
    <w:rsid w:val="00894666"/>
    <w:rsid w:val="008946F4"/>
    <w:rsid w:val="0089536D"/>
    <w:rsid w:val="008957ED"/>
    <w:rsid w:val="008957FA"/>
    <w:rsid w:val="00896B85"/>
    <w:rsid w:val="008A1405"/>
    <w:rsid w:val="008A22BE"/>
    <w:rsid w:val="008A2D72"/>
    <w:rsid w:val="008A3D1E"/>
    <w:rsid w:val="008B01E0"/>
    <w:rsid w:val="008B066B"/>
    <w:rsid w:val="008B0D58"/>
    <w:rsid w:val="008B187F"/>
    <w:rsid w:val="008B22A2"/>
    <w:rsid w:val="008B5574"/>
    <w:rsid w:val="008C1B36"/>
    <w:rsid w:val="008C3352"/>
    <w:rsid w:val="008C5291"/>
    <w:rsid w:val="008C55C3"/>
    <w:rsid w:val="008C66BA"/>
    <w:rsid w:val="008C7384"/>
    <w:rsid w:val="008C7930"/>
    <w:rsid w:val="008D06C6"/>
    <w:rsid w:val="008D1243"/>
    <w:rsid w:val="008D62F0"/>
    <w:rsid w:val="008E00D0"/>
    <w:rsid w:val="008E3BB0"/>
    <w:rsid w:val="008E3E9B"/>
    <w:rsid w:val="008E6250"/>
    <w:rsid w:val="008E62F5"/>
    <w:rsid w:val="008F1C85"/>
    <w:rsid w:val="008F6049"/>
    <w:rsid w:val="00902AF6"/>
    <w:rsid w:val="00920249"/>
    <w:rsid w:val="009239F4"/>
    <w:rsid w:val="00924C80"/>
    <w:rsid w:val="009265C3"/>
    <w:rsid w:val="009268A9"/>
    <w:rsid w:val="009322E4"/>
    <w:rsid w:val="00932F14"/>
    <w:rsid w:val="00933088"/>
    <w:rsid w:val="009330F6"/>
    <w:rsid w:val="009375F9"/>
    <w:rsid w:val="0094179E"/>
    <w:rsid w:val="0094247F"/>
    <w:rsid w:val="00942841"/>
    <w:rsid w:val="009429ED"/>
    <w:rsid w:val="00942D60"/>
    <w:rsid w:val="0094450E"/>
    <w:rsid w:val="00947476"/>
    <w:rsid w:val="00947D36"/>
    <w:rsid w:val="0095032F"/>
    <w:rsid w:val="009511F4"/>
    <w:rsid w:val="0095264A"/>
    <w:rsid w:val="00956280"/>
    <w:rsid w:val="0095697F"/>
    <w:rsid w:val="009619C9"/>
    <w:rsid w:val="00961AD8"/>
    <w:rsid w:val="0096204C"/>
    <w:rsid w:val="0096523B"/>
    <w:rsid w:val="00966EE3"/>
    <w:rsid w:val="00971DEA"/>
    <w:rsid w:val="00972D06"/>
    <w:rsid w:val="00976DC8"/>
    <w:rsid w:val="0097718E"/>
    <w:rsid w:val="00977295"/>
    <w:rsid w:val="00977D60"/>
    <w:rsid w:val="00982B81"/>
    <w:rsid w:val="00985671"/>
    <w:rsid w:val="0099338B"/>
    <w:rsid w:val="00993670"/>
    <w:rsid w:val="009A391C"/>
    <w:rsid w:val="009A50F2"/>
    <w:rsid w:val="009A5DAC"/>
    <w:rsid w:val="009A693F"/>
    <w:rsid w:val="009B0E57"/>
    <w:rsid w:val="009B5027"/>
    <w:rsid w:val="009B74C3"/>
    <w:rsid w:val="009B7F00"/>
    <w:rsid w:val="009C6D11"/>
    <w:rsid w:val="009C6F02"/>
    <w:rsid w:val="009D3863"/>
    <w:rsid w:val="009D7A96"/>
    <w:rsid w:val="009E0A61"/>
    <w:rsid w:val="009E2DA8"/>
    <w:rsid w:val="009E3010"/>
    <w:rsid w:val="009E49FF"/>
    <w:rsid w:val="009F007E"/>
    <w:rsid w:val="009F10F6"/>
    <w:rsid w:val="009F7065"/>
    <w:rsid w:val="00A01C6A"/>
    <w:rsid w:val="00A055C0"/>
    <w:rsid w:val="00A10B49"/>
    <w:rsid w:val="00A1426F"/>
    <w:rsid w:val="00A15340"/>
    <w:rsid w:val="00A159E9"/>
    <w:rsid w:val="00A164B9"/>
    <w:rsid w:val="00A24D8E"/>
    <w:rsid w:val="00A26CDE"/>
    <w:rsid w:val="00A301D8"/>
    <w:rsid w:val="00A34203"/>
    <w:rsid w:val="00A34EB1"/>
    <w:rsid w:val="00A4061C"/>
    <w:rsid w:val="00A4146B"/>
    <w:rsid w:val="00A4175D"/>
    <w:rsid w:val="00A42971"/>
    <w:rsid w:val="00A4335A"/>
    <w:rsid w:val="00A56DC7"/>
    <w:rsid w:val="00A610A0"/>
    <w:rsid w:val="00A6174D"/>
    <w:rsid w:val="00A63D00"/>
    <w:rsid w:val="00A64CD9"/>
    <w:rsid w:val="00A72DE4"/>
    <w:rsid w:val="00A74C81"/>
    <w:rsid w:val="00A74FD1"/>
    <w:rsid w:val="00A77BFA"/>
    <w:rsid w:val="00A84A58"/>
    <w:rsid w:val="00A85A32"/>
    <w:rsid w:val="00A86690"/>
    <w:rsid w:val="00A87487"/>
    <w:rsid w:val="00A90555"/>
    <w:rsid w:val="00AA1E1D"/>
    <w:rsid w:val="00AA2F03"/>
    <w:rsid w:val="00AA330F"/>
    <w:rsid w:val="00AA5090"/>
    <w:rsid w:val="00AA5726"/>
    <w:rsid w:val="00AA7745"/>
    <w:rsid w:val="00AB04C7"/>
    <w:rsid w:val="00AB102B"/>
    <w:rsid w:val="00AB1CA0"/>
    <w:rsid w:val="00AB6890"/>
    <w:rsid w:val="00AB7F3C"/>
    <w:rsid w:val="00AC12E0"/>
    <w:rsid w:val="00AC1384"/>
    <w:rsid w:val="00AC33F9"/>
    <w:rsid w:val="00AC6492"/>
    <w:rsid w:val="00AC69F7"/>
    <w:rsid w:val="00AD02CF"/>
    <w:rsid w:val="00AD180D"/>
    <w:rsid w:val="00AD41CE"/>
    <w:rsid w:val="00AD6604"/>
    <w:rsid w:val="00AD7603"/>
    <w:rsid w:val="00AE21BD"/>
    <w:rsid w:val="00AE4FE9"/>
    <w:rsid w:val="00AE6288"/>
    <w:rsid w:val="00AE6E38"/>
    <w:rsid w:val="00AF06FC"/>
    <w:rsid w:val="00AF3391"/>
    <w:rsid w:val="00AF36FE"/>
    <w:rsid w:val="00AF387F"/>
    <w:rsid w:val="00AF5027"/>
    <w:rsid w:val="00B00E7F"/>
    <w:rsid w:val="00B03F08"/>
    <w:rsid w:val="00B0507C"/>
    <w:rsid w:val="00B10E52"/>
    <w:rsid w:val="00B11108"/>
    <w:rsid w:val="00B114B8"/>
    <w:rsid w:val="00B1168A"/>
    <w:rsid w:val="00B12AED"/>
    <w:rsid w:val="00B12F1E"/>
    <w:rsid w:val="00B14D74"/>
    <w:rsid w:val="00B173DA"/>
    <w:rsid w:val="00B17A1C"/>
    <w:rsid w:val="00B20228"/>
    <w:rsid w:val="00B21DCC"/>
    <w:rsid w:val="00B22B69"/>
    <w:rsid w:val="00B25149"/>
    <w:rsid w:val="00B25F37"/>
    <w:rsid w:val="00B35FD9"/>
    <w:rsid w:val="00B365E7"/>
    <w:rsid w:val="00B37BF0"/>
    <w:rsid w:val="00B40FCB"/>
    <w:rsid w:val="00B41B6F"/>
    <w:rsid w:val="00B422FC"/>
    <w:rsid w:val="00B44422"/>
    <w:rsid w:val="00B4561A"/>
    <w:rsid w:val="00B4615F"/>
    <w:rsid w:val="00B46EA0"/>
    <w:rsid w:val="00B50EDC"/>
    <w:rsid w:val="00B532F7"/>
    <w:rsid w:val="00B534D8"/>
    <w:rsid w:val="00B55C9B"/>
    <w:rsid w:val="00B62DB5"/>
    <w:rsid w:val="00B64285"/>
    <w:rsid w:val="00B64303"/>
    <w:rsid w:val="00B651C7"/>
    <w:rsid w:val="00B65368"/>
    <w:rsid w:val="00B66C0D"/>
    <w:rsid w:val="00B66E5F"/>
    <w:rsid w:val="00B731D3"/>
    <w:rsid w:val="00B739C1"/>
    <w:rsid w:val="00B75E63"/>
    <w:rsid w:val="00B77D82"/>
    <w:rsid w:val="00B77F3A"/>
    <w:rsid w:val="00B81576"/>
    <w:rsid w:val="00B816E4"/>
    <w:rsid w:val="00B839A3"/>
    <w:rsid w:val="00B84523"/>
    <w:rsid w:val="00B8534C"/>
    <w:rsid w:val="00B86D8C"/>
    <w:rsid w:val="00B87B54"/>
    <w:rsid w:val="00B902BD"/>
    <w:rsid w:val="00B968E5"/>
    <w:rsid w:val="00B97F6E"/>
    <w:rsid w:val="00BA24E2"/>
    <w:rsid w:val="00BA34DF"/>
    <w:rsid w:val="00BA479F"/>
    <w:rsid w:val="00BB0D3B"/>
    <w:rsid w:val="00BB0DAD"/>
    <w:rsid w:val="00BB109F"/>
    <w:rsid w:val="00BB14A7"/>
    <w:rsid w:val="00BB6946"/>
    <w:rsid w:val="00BB7050"/>
    <w:rsid w:val="00BB7829"/>
    <w:rsid w:val="00BC2457"/>
    <w:rsid w:val="00BD08F9"/>
    <w:rsid w:val="00BD1B74"/>
    <w:rsid w:val="00BD2A39"/>
    <w:rsid w:val="00BD2E80"/>
    <w:rsid w:val="00BD7CE7"/>
    <w:rsid w:val="00BE02A2"/>
    <w:rsid w:val="00BE11B8"/>
    <w:rsid w:val="00BE39F5"/>
    <w:rsid w:val="00BE3A8C"/>
    <w:rsid w:val="00BE5122"/>
    <w:rsid w:val="00BF02D4"/>
    <w:rsid w:val="00BF1458"/>
    <w:rsid w:val="00BF42E7"/>
    <w:rsid w:val="00BF43DF"/>
    <w:rsid w:val="00BF4CB1"/>
    <w:rsid w:val="00BF5628"/>
    <w:rsid w:val="00BF5A5E"/>
    <w:rsid w:val="00BF6469"/>
    <w:rsid w:val="00BF7FF0"/>
    <w:rsid w:val="00C02274"/>
    <w:rsid w:val="00C057F4"/>
    <w:rsid w:val="00C07AAB"/>
    <w:rsid w:val="00C07D1E"/>
    <w:rsid w:val="00C1137D"/>
    <w:rsid w:val="00C11992"/>
    <w:rsid w:val="00C12502"/>
    <w:rsid w:val="00C12D70"/>
    <w:rsid w:val="00C164F5"/>
    <w:rsid w:val="00C16713"/>
    <w:rsid w:val="00C1730C"/>
    <w:rsid w:val="00C22535"/>
    <w:rsid w:val="00C247A6"/>
    <w:rsid w:val="00C24874"/>
    <w:rsid w:val="00C24B19"/>
    <w:rsid w:val="00C2520C"/>
    <w:rsid w:val="00C32C0A"/>
    <w:rsid w:val="00C32F97"/>
    <w:rsid w:val="00C35CC0"/>
    <w:rsid w:val="00C36578"/>
    <w:rsid w:val="00C408CD"/>
    <w:rsid w:val="00C40AA5"/>
    <w:rsid w:val="00C435DE"/>
    <w:rsid w:val="00C45278"/>
    <w:rsid w:val="00C46F70"/>
    <w:rsid w:val="00C476D0"/>
    <w:rsid w:val="00C50BEA"/>
    <w:rsid w:val="00C55872"/>
    <w:rsid w:val="00C55A1E"/>
    <w:rsid w:val="00C60910"/>
    <w:rsid w:val="00C60B26"/>
    <w:rsid w:val="00C61AC1"/>
    <w:rsid w:val="00C63B03"/>
    <w:rsid w:val="00C658CD"/>
    <w:rsid w:val="00C6767D"/>
    <w:rsid w:val="00C7019B"/>
    <w:rsid w:val="00C72973"/>
    <w:rsid w:val="00C73832"/>
    <w:rsid w:val="00C7513E"/>
    <w:rsid w:val="00C81396"/>
    <w:rsid w:val="00C836E3"/>
    <w:rsid w:val="00C83F96"/>
    <w:rsid w:val="00C84DDD"/>
    <w:rsid w:val="00C86577"/>
    <w:rsid w:val="00C91817"/>
    <w:rsid w:val="00C92E07"/>
    <w:rsid w:val="00C96868"/>
    <w:rsid w:val="00C97FDB"/>
    <w:rsid w:val="00CA0416"/>
    <w:rsid w:val="00CA0C8A"/>
    <w:rsid w:val="00CA0D55"/>
    <w:rsid w:val="00CA277A"/>
    <w:rsid w:val="00CA3504"/>
    <w:rsid w:val="00CA641D"/>
    <w:rsid w:val="00CA6908"/>
    <w:rsid w:val="00CA7F92"/>
    <w:rsid w:val="00CB13CB"/>
    <w:rsid w:val="00CB1889"/>
    <w:rsid w:val="00CC560B"/>
    <w:rsid w:val="00CC75E2"/>
    <w:rsid w:val="00CD28EC"/>
    <w:rsid w:val="00CD32DD"/>
    <w:rsid w:val="00CD46EB"/>
    <w:rsid w:val="00CD555A"/>
    <w:rsid w:val="00CD6760"/>
    <w:rsid w:val="00CD6884"/>
    <w:rsid w:val="00CD7EBF"/>
    <w:rsid w:val="00CE1519"/>
    <w:rsid w:val="00CE37C1"/>
    <w:rsid w:val="00CE42F1"/>
    <w:rsid w:val="00CF2D83"/>
    <w:rsid w:val="00CF6436"/>
    <w:rsid w:val="00D01148"/>
    <w:rsid w:val="00D012A4"/>
    <w:rsid w:val="00D03027"/>
    <w:rsid w:val="00D05014"/>
    <w:rsid w:val="00D056F1"/>
    <w:rsid w:val="00D11171"/>
    <w:rsid w:val="00D1651E"/>
    <w:rsid w:val="00D1724B"/>
    <w:rsid w:val="00D17E97"/>
    <w:rsid w:val="00D20A32"/>
    <w:rsid w:val="00D210EF"/>
    <w:rsid w:val="00D22F3C"/>
    <w:rsid w:val="00D23DB6"/>
    <w:rsid w:val="00D257E5"/>
    <w:rsid w:val="00D25BBA"/>
    <w:rsid w:val="00D264C6"/>
    <w:rsid w:val="00D26642"/>
    <w:rsid w:val="00D30639"/>
    <w:rsid w:val="00D3390C"/>
    <w:rsid w:val="00D3516F"/>
    <w:rsid w:val="00D35537"/>
    <w:rsid w:val="00D42679"/>
    <w:rsid w:val="00D4385D"/>
    <w:rsid w:val="00D43FE6"/>
    <w:rsid w:val="00D478EE"/>
    <w:rsid w:val="00D5008E"/>
    <w:rsid w:val="00D504A0"/>
    <w:rsid w:val="00D5104C"/>
    <w:rsid w:val="00D51A95"/>
    <w:rsid w:val="00D524FD"/>
    <w:rsid w:val="00D549E7"/>
    <w:rsid w:val="00D54E0E"/>
    <w:rsid w:val="00D60336"/>
    <w:rsid w:val="00D60568"/>
    <w:rsid w:val="00D610F9"/>
    <w:rsid w:val="00D61173"/>
    <w:rsid w:val="00D640C3"/>
    <w:rsid w:val="00D6491F"/>
    <w:rsid w:val="00D70C7A"/>
    <w:rsid w:val="00D71F91"/>
    <w:rsid w:val="00D7540F"/>
    <w:rsid w:val="00D7662E"/>
    <w:rsid w:val="00D76F2A"/>
    <w:rsid w:val="00D80579"/>
    <w:rsid w:val="00D81D38"/>
    <w:rsid w:val="00D81FE0"/>
    <w:rsid w:val="00D923A4"/>
    <w:rsid w:val="00D9620E"/>
    <w:rsid w:val="00D96970"/>
    <w:rsid w:val="00D9779F"/>
    <w:rsid w:val="00DA079E"/>
    <w:rsid w:val="00DA10A8"/>
    <w:rsid w:val="00DA2A94"/>
    <w:rsid w:val="00DA419A"/>
    <w:rsid w:val="00DA640D"/>
    <w:rsid w:val="00DA71FB"/>
    <w:rsid w:val="00DB0614"/>
    <w:rsid w:val="00DB0BA1"/>
    <w:rsid w:val="00DB1E08"/>
    <w:rsid w:val="00DB2973"/>
    <w:rsid w:val="00DB3145"/>
    <w:rsid w:val="00DB357D"/>
    <w:rsid w:val="00DB588D"/>
    <w:rsid w:val="00DC177E"/>
    <w:rsid w:val="00DC1B56"/>
    <w:rsid w:val="00DC2129"/>
    <w:rsid w:val="00DC2E49"/>
    <w:rsid w:val="00DC431E"/>
    <w:rsid w:val="00DC5873"/>
    <w:rsid w:val="00DC6570"/>
    <w:rsid w:val="00DD1F16"/>
    <w:rsid w:val="00DD2122"/>
    <w:rsid w:val="00DD397E"/>
    <w:rsid w:val="00DD3C5E"/>
    <w:rsid w:val="00DE1BD0"/>
    <w:rsid w:val="00DE2E48"/>
    <w:rsid w:val="00DE5D8A"/>
    <w:rsid w:val="00DE79BC"/>
    <w:rsid w:val="00DF25C3"/>
    <w:rsid w:val="00DF3F70"/>
    <w:rsid w:val="00E01FF0"/>
    <w:rsid w:val="00E034B8"/>
    <w:rsid w:val="00E03DCF"/>
    <w:rsid w:val="00E04062"/>
    <w:rsid w:val="00E044D9"/>
    <w:rsid w:val="00E04810"/>
    <w:rsid w:val="00E063C6"/>
    <w:rsid w:val="00E066BA"/>
    <w:rsid w:val="00E1038A"/>
    <w:rsid w:val="00E10CF8"/>
    <w:rsid w:val="00E12B7B"/>
    <w:rsid w:val="00E1420A"/>
    <w:rsid w:val="00E2003B"/>
    <w:rsid w:val="00E203C2"/>
    <w:rsid w:val="00E210D5"/>
    <w:rsid w:val="00E2198C"/>
    <w:rsid w:val="00E23732"/>
    <w:rsid w:val="00E24BFC"/>
    <w:rsid w:val="00E279D8"/>
    <w:rsid w:val="00E27FB1"/>
    <w:rsid w:val="00E319B1"/>
    <w:rsid w:val="00E32969"/>
    <w:rsid w:val="00E32994"/>
    <w:rsid w:val="00E339EA"/>
    <w:rsid w:val="00E36F60"/>
    <w:rsid w:val="00E4099F"/>
    <w:rsid w:val="00E41971"/>
    <w:rsid w:val="00E43919"/>
    <w:rsid w:val="00E44799"/>
    <w:rsid w:val="00E44E0D"/>
    <w:rsid w:val="00E477F8"/>
    <w:rsid w:val="00E47CE3"/>
    <w:rsid w:val="00E5187F"/>
    <w:rsid w:val="00E5348E"/>
    <w:rsid w:val="00E54330"/>
    <w:rsid w:val="00E5492F"/>
    <w:rsid w:val="00E56EC0"/>
    <w:rsid w:val="00E57C88"/>
    <w:rsid w:val="00E61B90"/>
    <w:rsid w:val="00E62DEF"/>
    <w:rsid w:val="00E63769"/>
    <w:rsid w:val="00E641F0"/>
    <w:rsid w:val="00E64629"/>
    <w:rsid w:val="00E65DC9"/>
    <w:rsid w:val="00E66C02"/>
    <w:rsid w:val="00E70639"/>
    <w:rsid w:val="00E70A86"/>
    <w:rsid w:val="00E717B9"/>
    <w:rsid w:val="00E72511"/>
    <w:rsid w:val="00E731B0"/>
    <w:rsid w:val="00E76B9F"/>
    <w:rsid w:val="00E77109"/>
    <w:rsid w:val="00E7720E"/>
    <w:rsid w:val="00E777EC"/>
    <w:rsid w:val="00E80FCD"/>
    <w:rsid w:val="00E81DC4"/>
    <w:rsid w:val="00E82F57"/>
    <w:rsid w:val="00E9339C"/>
    <w:rsid w:val="00E936BB"/>
    <w:rsid w:val="00E951E7"/>
    <w:rsid w:val="00E95D0F"/>
    <w:rsid w:val="00E96C68"/>
    <w:rsid w:val="00EA32AE"/>
    <w:rsid w:val="00EA7077"/>
    <w:rsid w:val="00EA7791"/>
    <w:rsid w:val="00EA7F2F"/>
    <w:rsid w:val="00EB08B6"/>
    <w:rsid w:val="00EB144F"/>
    <w:rsid w:val="00EB2713"/>
    <w:rsid w:val="00EB3249"/>
    <w:rsid w:val="00EC00DE"/>
    <w:rsid w:val="00EC1508"/>
    <w:rsid w:val="00EC27C3"/>
    <w:rsid w:val="00EC30E1"/>
    <w:rsid w:val="00EC4AFF"/>
    <w:rsid w:val="00EC7319"/>
    <w:rsid w:val="00EC75D0"/>
    <w:rsid w:val="00ED172A"/>
    <w:rsid w:val="00ED43C2"/>
    <w:rsid w:val="00ED53A8"/>
    <w:rsid w:val="00ED6536"/>
    <w:rsid w:val="00EE1DD6"/>
    <w:rsid w:val="00EE54F5"/>
    <w:rsid w:val="00EF0C68"/>
    <w:rsid w:val="00EF0CEC"/>
    <w:rsid w:val="00EF363C"/>
    <w:rsid w:val="00EF5031"/>
    <w:rsid w:val="00EF508F"/>
    <w:rsid w:val="00EF5A42"/>
    <w:rsid w:val="00EF5E4E"/>
    <w:rsid w:val="00F058A3"/>
    <w:rsid w:val="00F073D1"/>
    <w:rsid w:val="00F11F6C"/>
    <w:rsid w:val="00F135D0"/>
    <w:rsid w:val="00F14031"/>
    <w:rsid w:val="00F1488A"/>
    <w:rsid w:val="00F14BEC"/>
    <w:rsid w:val="00F16ADC"/>
    <w:rsid w:val="00F225C5"/>
    <w:rsid w:val="00F2587A"/>
    <w:rsid w:val="00F26B38"/>
    <w:rsid w:val="00F3478D"/>
    <w:rsid w:val="00F3715D"/>
    <w:rsid w:val="00F37434"/>
    <w:rsid w:val="00F375F7"/>
    <w:rsid w:val="00F41B51"/>
    <w:rsid w:val="00F420C8"/>
    <w:rsid w:val="00F42A4C"/>
    <w:rsid w:val="00F475EE"/>
    <w:rsid w:val="00F510BD"/>
    <w:rsid w:val="00F51181"/>
    <w:rsid w:val="00F520E9"/>
    <w:rsid w:val="00F5256D"/>
    <w:rsid w:val="00F5285B"/>
    <w:rsid w:val="00F56D95"/>
    <w:rsid w:val="00F604DE"/>
    <w:rsid w:val="00F610B4"/>
    <w:rsid w:val="00F670BD"/>
    <w:rsid w:val="00F678A7"/>
    <w:rsid w:val="00F80AD9"/>
    <w:rsid w:val="00F8213A"/>
    <w:rsid w:val="00F82970"/>
    <w:rsid w:val="00F83B32"/>
    <w:rsid w:val="00F86D78"/>
    <w:rsid w:val="00F86DB9"/>
    <w:rsid w:val="00F90E37"/>
    <w:rsid w:val="00F94489"/>
    <w:rsid w:val="00FA01B2"/>
    <w:rsid w:val="00FA0BAC"/>
    <w:rsid w:val="00FA1D47"/>
    <w:rsid w:val="00FA3529"/>
    <w:rsid w:val="00FA3C10"/>
    <w:rsid w:val="00FA3E4E"/>
    <w:rsid w:val="00FA4B79"/>
    <w:rsid w:val="00FA698D"/>
    <w:rsid w:val="00FB0747"/>
    <w:rsid w:val="00FB2A35"/>
    <w:rsid w:val="00FB3BE5"/>
    <w:rsid w:val="00FB6B7E"/>
    <w:rsid w:val="00FB7512"/>
    <w:rsid w:val="00FC0862"/>
    <w:rsid w:val="00FC4901"/>
    <w:rsid w:val="00FC5BB0"/>
    <w:rsid w:val="00FC788A"/>
    <w:rsid w:val="00FD0884"/>
    <w:rsid w:val="00FD39D2"/>
    <w:rsid w:val="00FD498E"/>
    <w:rsid w:val="00FD7547"/>
    <w:rsid w:val="00FD792A"/>
    <w:rsid w:val="00FE0321"/>
    <w:rsid w:val="00FE127E"/>
    <w:rsid w:val="00FF2109"/>
    <w:rsid w:val="00FF24A3"/>
    <w:rsid w:val="00FF25F8"/>
    <w:rsid w:val="00FF2AB2"/>
    <w:rsid w:val="00FF4231"/>
    <w:rsid w:val="00FF4348"/>
    <w:rsid w:val="00FF478D"/>
    <w:rsid w:val="00FF5F5C"/>
    <w:rsid w:val="14799A90"/>
    <w:rsid w:val="2BA61BC5"/>
    <w:rsid w:val="2C79BB57"/>
    <w:rsid w:val="2C957E02"/>
    <w:rsid w:val="4EB6EF16"/>
    <w:rsid w:val="51660E28"/>
    <w:rsid w:val="54C32488"/>
    <w:rsid w:val="7AE863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2B7DB"/>
  <w15:docId w15:val="{FA20A649-6A22-4715-9A8D-9A923D60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numPr>
        <w:numId w:val="5"/>
      </w:numPr>
      <w:spacing w:before="240" w:after="240"/>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C50BEA"/>
    <w:pPr>
      <w:keepNext/>
      <w:numPr>
        <w:ilvl w:val="1"/>
        <w:numId w:val="4"/>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304CCC"/>
    <w:pPr>
      <w:keepNext/>
      <w:numPr>
        <w:ilvl w:val="2"/>
        <w:numId w:val="4"/>
      </w:numPr>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numPr>
        <w:ilvl w:val="3"/>
        <w:numId w:val="5"/>
      </w:numPr>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C50BE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304CC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7120F8"/>
    <w:pPr>
      <w:tabs>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FB2A35"/>
    <w:pPr>
      <w:tabs>
        <w:tab w:val="left" w:pos="880"/>
        <w:tab w:val="right" w:leader="dot" w:pos="9060"/>
      </w:tabs>
      <w:ind w:left="220"/>
    </w:pPr>
    <w:rPr>
      <w:rFonts w:asciiTheme="minorHAnsi" w:hAnsiTheme="minorHAnsi"/>
      <w:smallCaps/>
      <w:sz w:val="20"/>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pPr>
    <w:rPr>
      <w:rFonts w:eastAsia="Calibri"/>
      <w:szCs w:val="22"/>
      <w:lang w:bidi="ar-SA"/>
    </w:rPr>
  </w:style>
  <w:style w:type="paragraph" w:customStyle="1" w:styleId="FSBullet3">
    <w:name w:val="FSBullet 3"/>
    <w:basedOn w:val="Normal"/>
    <w:qFormat/>
    <w:rsid w:val="0029631C"/>
    <w:pPr>
      <w:keepNext/>
      <w:widowControl/>
      <w:numPr>
        <w:numId w:val="3"/>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ED53A8"/>
    <w:pPr>
      <w:ind w:left="720"/>
      <w:contextualSpacing/>
    </w:pPr>
  </w:style>
  <w:style w:type="character" w:customStyle="1" w:styleId="FootnoteTextChar">
    <w:name w:val="Footnote Text Char"/>
    <w:basedOn w:val="DefaultParagraphFont"/>
    <w:link w:val="FootnoteText"/>
    <w:rsid w:val="00855EE3"/>
    <w:rPr>
      <w:rFonts w:ascii="Arial" w:hAnsi="Arial"/>
      <w:lang w:eastAsia="en-US" w:bidi="en-US"/>
    </w:rPr>
  </w:style>
  <w:style w:type="character" w:customStyle="1" w:styleId="UnresolvedMention1">
    <w:name w:val="Unresolved Mention1"/>
    <w:basedOn w:val="DefaultParagraphFont"/>
    <w:uiPriority w:val="99"/>
    <w:semiHidden/>
    <w:unhideWhenUsed/>
    <w:rsid w:val="00E64629"/>
    <w:rPr>
      <w:color w:val="605E5C"/>
      <w:shd w:val="clear" w:color="auto" w:fill="E1DFDD"/>
    </w:rPr>
  </w:style>
  <w:style w:type="paragraph" w:styleId="CommentSubject">
    <w:name w:val="annotation subject"/>
    <w:basedOn w:val="CommentText"/>
    <w:next w:val="CommentText"/>
    <w:link w:val="CommentSubjectChar"/>
    <w:semiHidden/>
    <w:unhideWhenUsed/>
    <w:rsid w:val="006F502E"/>
    <w:rPr>
      <w:b/>
      <w:bCs/>
    </w:rPr>
  </w:style>
  <w:style w:type="character" w:customStyle="1" w:styleId="CommentSubjectChar">
    <w:name w:val="Comment Subject Char"/>
    <w:basedOn w:val="CommentTextChar"/>
    <w:link w:val="CommentSubject"/>
    <w:semiHidden/>
    <w:rsid w:val="006F502E"/>
    <w:rPr>
      <w:rFonts w:ascii="Arial" w:hAnsi="Arial"/>
      <w:b/>
      <w:bCs/>
      <w:lang w:eastAsia="en-US" w:bidi="en-US"/>
    </w:rPr>
  </w:style>
  <w:style w:type="character" w:customStyle="1" w:styleId="Mention1">
    <w:name w:val="Mention1"/>
    <w:basedOn w:val="DefaultParagraphFont"/>
    <w:uiPriority w:val="99"/>
    <w:unhideWhenUsed/>
    <w:rsid w:val="0084715C"/>
    <w:rPr>
      <w:color w:val="2B579A"/>
      <w:shd w:val="clear" w:color="auto" w:fill="E1DFDD"/>
    </w:rPr>
  </w:style>
  <w:style w:type="paragraph" w:styleId="Revision">
    <w:name w:val="Revision"/>
    <w:hidden/>
    <w:uiPriority w:val="99"/>
    <w:semiHidden/>
    <w:rsid w:val="003F34F0"/>
    <w:rPr>
      <w:rFonts w:ascii="Arial" w:hAnsi="Arial"/>
      <w:sz w:val="22"/>
      <w:szCs w:val="24"/>
      <w:lang w:eastAsia="en-US" w:bidi="en-US"/>
    </w:rPr>
  </w:style>
  <w:style w:type="character" w:styleId="UnresolvedMention">
    <w:name w:val="Unresolved Mention"/>
    <w:basedOn w:val="DefaultParagraphFont"/>
    <w:uiPriority w:val="99"/>
    <w:unhideWhenUsed/>
    <w:rsid w:val="00AD180D"/>
    <w:rPr>
      <w:color w:val="605E5C"/>
      <w:shd w:val="clear" w:color="auto" w:fill="E1DFDD"/>
    </w:rPr>
  </w:style>
  <w:style w:type="character" w:styleId="Mention">
    <w:name w:val="Mention"/>
    <w:basedOn w:val="DefaultParagraphFont"/>
    <w:uiPriority w:val="99"/>
    <w:unhideWhenUsed/>
    <w:rsid w:val="00AD180D"/>
    <w:rPr>
      <w:color w:val="2B579A"/>
      <w:shd w:val="clear" w:color="auto" w:fill="E1DFDD"/>
    </w:rPr>
  </w:style>
  <w:style w:type="paragraph" w:styleId="NormalWeb">
    <w:name w:val="Normal (Web)"/>
    <w:basedOn w:val="Normal"/>
    <w:uiPriority w:val="99"/>
    <w:semiHidden/>
    <w:unhideWhenUsed/>
    <w:rsid w:val="00D76F2A"/>
    <w:pPr>
      <w:widowControl/>
      <w:spacing w:before="100" w:beforeAutospacing="1" w:after="100" w:afterAutospacing="1"/>
    </w:pPr>
    <w:rPr>
      <w:rFonts w:ascii="Times New Roman" w:hAnsi="Times New Roman"/>
      <w:sz w:val="24"/>
      <w:lang w:val="en-NZ" w:eastAsia="en-NZ" w:bidi="ar-SA"/>
    </w:rPr>
  </w:style>
  <w:style w:type="character" w:customStyle="1" w:styleId="FooterChar">
    <w:name w:val="Footer Char"/>
    <w:basedOn w:val="DefaultParagraphFont"/>
    <w:link w:val="Footer"/>
    <w:uiPriority w:val="99"/>
    <w:rsid w:val="0048795A"/>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74648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griculture.gov.au/import/goods/food/inspection-compliance/failing-food-repo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foodstandardsgovau.sharepoint.com/sites/Branding/Templates/Standards%20Management/Reports%20SDs%20and%20App%20Handbook%20Checklists/Report%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Props1.xml><?xml version="1.0" encoding="utf-8"?>
<ds:datastoreItem xmlns:ds="http://schemas.openxmlformats.org/officeDocument/2006/customXml" ds:itemID="{93A003D2-A755-4989-A3E8-CE0B3199BCDD}"/>
</file>

<file path=customXml/itemProps2.xml><?xml version="1.0" encoding="utf-8"?>
<ds:datastoreItem xmlns:ds="http://schemas.openxmlformats.org/officeDocument/2006/customXml" ds:itemID="{096D1BD7-D22D-434F-818F-7E9E7F0BE2F9}">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11D3D39-C68E-4A3D-BC95-191B72BCE665}">
  <ds:schemaRef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0e0bee33-077a-46d4-80d5-abd1b3a3b85b"/>
    <ds:schemaRef ds:uri="http://purl.org/dc/terms/"/>
  </ds:schemaRefs>
</ds:datastoreItem>
</file>

<file path=customXml/itemProps4.xml><?xml version="1.0" encoding="utf-8"?>
<ds:datastoreItem xmlns:ds="http://schemas.openxmlformats.org/officeDocument/2006/customXml" ds:itemID="{731C1323-4DEB-4F0C-B760-ECD75EA24DBA}">
  <ds:schemaRefs>
    <ds:schemaRef ds:uri="http://schemas.microsoft.com/sharepoint/v3/contenttype/forms"/>
  </ds:schemaRefs>
</ds:datastoreItem>
</file>

<file path=customXml/itemProps5.xml><?xml version="1.0" encoding="utf-8"?>
<ds:datastoreItem xmlns:ds="http://schemas.openxmlformats.org/officeDocument/2006/customXml" ds:itemID="{AB501601-5034-4058-8496-C20338DA9B11}">
  <ds:schemaRefs>
    <ds:schemaRef ds:uri="http://schemas.openxmlformats.org/officeDocument/2006/bibliography"/>
  </ds:schemaRefs>
</ds:datastoreItem>
</file>

<file path=customXml/itemProps6.xml><?xml version="1.0" encoding="utf-8"?>
<ds:datastoreItem xmlns:ds="http://schemas.openxmlformats.org/officeDocument/2006/customXml" ds:itemID="{1DEA4679-3E8E-45E7-B228-B9562254A72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Report%20supporting%20document</Template>
  <TotalTime>5</TotalTime>
  <Pages>13</Pages>
  <Words>4048</Words>
  <Characters>20691</Characters>
  <Application>Microsoft Office Word</Application>
  <DocSecurity>0</DocSecurity>
  <Lines>677</Lines>
  <Paragraphs>392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24620</CharactersWithSpaces>
  <SharedDoc>false</SharedDoc>
  <HLinks>
    <vt:vector size="162" baseType="variant">
      <vt:variant>
        <vt:i4>1441851</vt:i4>
      </vt:variant>
      <vt:variant>
        <vt:i4>140</vt:i4>
      </vt:variant>
      <vt:variant>
        <vt:i4>0</vt:i4>
      </vt:variant>
      <vt:variant>
        <vt:i4>5</vt:i4>
      </vt:variant>
      <vt:variant>
        <vt:lpwstr/>
      </vt:variant>
      <vt:variant>
        <vt:lpwstr>_Toc136355940</vt:lpwstr>
      </vt:variant>
      <vt:variant>
        <vt:i4>1114171</vt:i4>
      </vt:variant>
      <vt:variant>
        <vt:i4>134</vt:i4>
      </vt:variant>
      <vt:variant>
        <vt:i4>0</vt:i4>
      </vt:variant>
      <vt:variant>
        <vt:i4>5</vt:i4>
      </vt:variant>
      <vt:variant>
        <vt:lpwstr/>
      </vt:variant>
      <vt:variant>
        <vt:lpwstr>_Toc136355939</vt:lpwstr>
      </vt:variant>
      <vt:variant>
        <vt:i4>1114171</vt:i4>
      </vt:variant>
      <vt:variant>
        <vt:i4>128</vt:i4>
      </vt:variant>
      <vt:variant>
        <vt:i4>0</vt:i4>
      </vt:variant>
      <vt:variant>
        <vt:i4>5</vt:i4>
      </vt:variant>
      <vt:variant>
        <vt:lpwstr/>
      </vt:variant>
      <vt:variant>
        <vt:lpwstr>_Toc136355938</vt:lpwstr>
      </vt:variant>
      <vt:variant>
        <vt:i4>1114171</vt:i4>
      </vt:variant>
      <vt:variant>
        <vt:i4>122</vt:i4>
      </vt:variant>
      <vt:variant>
        <vt:i4>0</vt:i4>
      </vt:variant>
      <vt:variant>
        <vt:i4>5</vt:i4>
      </vt:variant>
      <vt:variant>
        <vt:lpwstr/>
      </vt:variant>
      <vt:variant>
        <vt:lpwstr>_Toc136355937</vt:lpwstr>
      </vt:variant>
      <vt:variant>
        <vt:i4>1114171</vt:i4>
      </vt:variant>
      <vt:variant>
        <vt:i4>116</vt:i4>
      </vt:variant>
      <vt:variant>
        <vt:i4>0</vt:i4>
      </vt:variant>
      <vt:variant>
        <vt:i4>5</vt:i4>
      </vt:variant>
      <vt:variant>
        <vt:lpwstr/>
      </vt:variant>
      <vt:variant>
        <vt:lpwstr>_Toc136355936</vt:lpwstr>
      </vt:variant>
      <vt:variant>
        <vt:i4>1114171</vt:i4>
      </vt:variant>
      <vt:variant>
        <vt:i4>110</vt:i4>
      </vt:variant>
      <vt:variant>
        <vt:i4>0</vt:i4>
      </vt:variant>
      <vt:variant>
        <vt:i4>5</vt:i4>
      </vt:variant>
      <vt:variant>
        <vt:lpwstr/>
      </vt:variant>
      <vt:variant>
        <vt:lpwstr>_Toc136355935</vt:lpwstr>
      </vt:variant>
      <vt:variant>
        <vt:i4>1114171</vt:i4>
      </vt:variant>
      <vt:variant>
        <vt:i4>104</vt:i4>
      </vt:variant>
      <vt:variant>
        <vt:i4>0</vt:i4>
      </vt:variant>
      <vt:variant>
        <vt:i4>5</vt:i4>
      </vt:variant>
      <vt:variant>
        <vt:lpwstr/>
      </vt:variant>
      <vt:variant>
        <vt:lpwstr>_Toc136355934</vt:lpwstr>
      </vt:variant>
      <vt:variant>
        <vt:i4>1114171</vt:i4>
      </vt:variant>
      <vt:variant>
        <vt:i4>98</vt:i4>
      </vt:variant>
      <vt:variant>
        <vt:i4>0</vt:i4>
      </vt:variant>
      <vt:variant>
        <vt:i4>5</vt:i4>
      </vt:variant>
      <vt:variant>
        <vt:lpwstr/>
      </vt:variant>
      <vt:variant>
        <vt:lpwstr>_Toc136355933</vt:lpwstr>
      </vt:variant>
      <vt:variant>
        <vt:i4>1114171</vt:i4>
      </vt:variant>
      <vt:variant>
        <vt:i4>92</vt:i4>
      </vt:variant>
      <vt:variant>
        <vt:i4>0</vt:i4>
      </vt:variant>
      <vt:variant>
        <vt:i4>5</vt:i4>
      </vt:variant>
      <vt:variant>
        <vt:lpwstr/>
      </vt:variant>
      <vt:variant>
        <vt:lpwstr>_Toc136355932</vt:lpwstr>
      </vt:variant>
      <vt:variant>
        <vt:i4>1114171</vt:i4>
      </vt:variant>
      <vt:variant>
        <vt:i4>86</vt:i4>
      </vt:variant>
      <vt:variant>
        <vt:i4>0</vt:i4>
      </vt:variant>
      <vt:variant>
        <vt:i4>5</vt:i4>
      </vt:variant>
      <vt:variant>
        <vt:lpwstr/>
      </vt:variant>
      <vt:variant>
        <vt:lpwstr>_Toc136355931</vt:lpwstr>
      </vt:variant>
      <vt:variant>
        <vt:i4>1114171</vt:i4>
      </vt:variant>
      <vt:variant>
        <vt:i4>80</vt:i4>
      </vt:variant>
      <vt:variant>
        <vt:i4>0</vt:i4>
      </vt:variant>
      <vt:variant>
        <vt:i4>5</vt:i4>
      </vt:variant>
      <vt:variant>
        <vt:lpwstr/>
      </vt:variant>
      <vt:variant>
        <vt:lpwstr>_Toc136355930</vt:lpwstr>
      </vt:variant>
      <vt:variant>
        <vt:i4>1048635</vt:i4>
      </vt:variant>
      <vt:variant>
        <vt:i4>74</vt:i4>
      </vt:variant>
      <vt:variant>
        <vt:i4>0</vt:i4>
      </vt:variant>
      <vt:variant>
        <vt:i4>5</vt:i4>
      </vt:variant>
      <vt:variant>
        <vt:lpwstr/>
      </vt:variant>
      <vt:variant>
        <vt:lpwstr>_Toc136355929</vt:lpwstr>
      </vt:variant>
      <vt:variant>
        <vt:i4>1048635</vt:i4>
      </vt:variant>
      <vt:variant>
        <vt:i4>68</vt:i4>
      </vt:variant>
      <vt:variant>
        <vt:i4>0</vt:i4>
      </vt:variant>
      <vt:variant>
        <vt:i4>5</vt:i4>
      </vt:variant>
      <vt:variant>
        <vt:lpwstr/>
      </vt:variant>
      <vt:variant>
        <vt:lpwstr>_Toc136355928</vt:lpwstr>
      </vt:variant>
      <vt:variant>
        <vt:i4>1048635</vt:i4>
      </vt:variant>
      <vt:variant>
        <vt:i4>62</vt:i4>
      </vt:variant>
      <vt:variant>
        <vt:i4>0</vt:i4>
      </vt:variant>
      <vt:variant>
        <vt:i4>5</vt:i4>
      </vt:variant>
      <vt:variant>
        <vt:lpwstr/>
      </vt:variant>
      <vt:variant>
        <vt:lpwstr>_Toc136355927</vt:lpwstr>
      </vt:variant>
      <vt:variant>
        <vt:i4>1048635</vt:i4>
      </vt:variant>
      <vt:variant>
        <vt:i4>56</vt:i4>
      </vt:variant>
      <vt:variant>
        <vt:i4>0</vt:i4>
      </vt:variant>
      <vt:variant>
        <vt:i4>5</vt:i4>
      </vt:variant>
      <vt:variant>
        <vt:lpwstr/>
      </vt:variant>
      <vt:variant>
        <vt:lpwstr>_Toc136355926</vt:lpwstr>
      </vt:variant>
      <vt:variant>
        <vt:i4>1048635</vt:i4>
      </vt:variant>
      <vt:variant>
        <vt:i4>50</vt:i4>
      </vt:variant>
      <vt:variant>
        <vt:i4>0</vt:i4>
      </vt:variant>
      <vt:variant>
        <vt:i4>5</vt:i4>
      </vt:variant>
      <vt:variant>
        <vt:lpwstr/>
      </vt:variant>
      <vt:variant>
        <vt:lpwstr>_Toc136355925</vt:lpwstr>
      </vt:variant>
      <vt:variant>
        <vt:i4>1048635</vt:i4>
      </vt:variant>
      <vt:variant>
        <vt:i4>44</vt:i4>
      </vt:variant>
      <vt:variant>
        <vt:i4>0</vt:i4>
      </vt:variant>
      <vt:variant>
        <vt:i4>5</vt:i4>
      </vt:variant>
      <vt:variant>
        <vt:lpwstr/>
      </vt:variant>
      <vt:variant>
        <vt:lpwstr>_Toc136355924</vt:lpwstr>
      </vt:variant>
      <vt:variant>
        <vt:i4>1048635</vt:i4>
      </vt:variant>
      <vt:variant>
        <vt:i4>38</vt:i4>
      </vt:variant>
      <vt:variant>
        <vt:i4>0</vt:i4>
      </vt:variant>
      <vt:variant>
        <vt:i4>5</vt:i4>
      </vt:variant>
      <vt:variant>
        <vt:lpwstr/>
      </vt:variant>
      <vt:variant>
        <vt:lpwstr>_Toc136355923</vt:lpwstr>
      </vt:variant>
      <vt:variant>
        <vt:i4>1048635</vt:i4>
      </vt:variant>
      <vt:variant>
        <vt:i4>32</vt:i4>
      </vt:variant>
      <vt:variant>
        <vt:i4>0</vt:i4>
      </vt:variant>
      <vt:variant>
        <vt:i4>5</vt:i4>
      </vt:variant>
      <vt:variant>
        <vt:lpwstr/>
      </vt:variant>
      <vt:variant>
        <vt:lpwstr>_Toc136355922</vt:lpwstr>
      </vt:variant>
      <vt:variant>
        <vt:i4>1048635</vt:i4>
      </vt:variant>
      <vt:variant>
        <vt:i4>26</vt:i4>
      </vt:variant>
      <vt:variant>
        <vt:i4>0</vt:i4>
      </vt:variant>
      <vt:variant>
        <vt:i4>5</vt:i4>
      </vt:variant>
      <vt:variant>
        <vt:lpwstr/>
      </vt:variant>
      <vt:variant>
        <vt:lpwstr>_Toc136355921</vt:lpwstr>
      </vt:variant>
      <vt:variant>
        <vt:i4>1048635</vt:i4>
      </vt:variant>
      <vt:variant>
        <vt:i4>20</vt:i4>
      </vt:variant>
      <vt:variant>
        <vt:i4>0</vt:i4>
      </vt:variant>
      <vt:variant>
        <vt:i4>5</vt:i4>
      </vt:variant>
      <vt:variant>
        <vt:lpwstr/>
      </vt:variant>
      <vt:variant>
        <vt:lpwstr>_Toc136355920</vt:lpwstr>
      </vt:variant>
      <vt:variant>
        <vt:i4>1245243</vt:i4>
      </vt:variant>
      <vt:variant>
        <vt:i4>14</vt:i4>
      </vt:variant>
      <vt:variant>
        <vt:i4>0</vt:i4>
      </vt:variant>
      <vt:variant>
        <vt:i4>5</vt:i4>
      </vt:variant>
      <vt:variant>
        <vt:lpwstr/>
      </vt:variant>
      <vt:variant>
        <vt:lpwstr>_Toc136355919</vt:lpwstr>
      </vt:variant>
      <vt:variant>
        <vt:i4>1245243</vt:i4>
      </vt:variant>
      <vt:variant>
        <vt:i4>8</vt:i4>
      </vt:variant>
      <vt:variant>
        <vt:i4>0</vt:i4>
      </vt:variant>
      <vt:variant>
        <vt:i4>5</vt:i4>
      </vt:variant>
      <vt:variant>
        <vt:lpwstr/>
      </vt:variant>
      <vt:variant>
        <vt:lpwstr>_Toc136355918</vt:lpwstr>
      </vt:variant>
      <vt:variant>
        <vt:i4>1245243</vt:i4>
      </vt:variant>
      <vt:variant>
        <vt:i4>2</vt:i4>
      </vt:variant>
      <vt:variant>
        <vt:i4>0</vt:i4>
      </vt:variant>
      <vt:variant>
        <vt:i4>5</vt:i4>
      </vt:variant>
      <vt:variant>
        <vt:lpwstr/>
      </vt:variant>
      <vt:variant>
        <vt:lpwstr>_Toc136355917</vt:lpwstr>
      </vt:variant>
      <vt:variant>
        <vt:i4>2818104</vt:i4>
      </vt:variant>
      <vt:variant>
        <vt:i4>0</vt:i4>
      </vt:variant>
      <vt:variant>
        <vt:i4>0</vt:i4>
      </vt:variant>
      <vt:variant>
        <vt:i4>5</vt:i4>
      </vt:variant>
      <vt:variant>
        <vt:lpwstr>https://www.agriculture.gov.au/import/goods/food/inspection-compliance/failing-food-reports</vt:lpwstr>
      </vt:variant>
      <vt:variant>
        <vt:lpwstr/>
      </vt:variant>
      <vt:variant>
        <vt:i4>5046390</vt:i4>
      </vt:variant>
      <vt:variant>
        <vt:i4>3</vt:i4>
      </vt:variant>
      <vt:variant>
        <vt:i4>0</vt:i4>
      </vt:variant>
      <vt:variant>
        <vt:i4>5</vt:i4>
      </vt:variant>
      <vt:variant>
        <vt:lpwstr>mailto:Nick.Fletcher@foodstandards.gov.au</vt:lpwstr>
      </vt:variant>
      <vt:variant>
        <vt:lpwstr/>
      </vt:variant>
      <vt:variant>
        <vt:i4>2883590</vt:i4>
      </vt:variant>
      <vt:variant>
        <vt:i4>0</vt:i4>
      </vt:variant>
      <vt:variant>
        <vt:i4>0</vt:i4>
      </vt:variant>
      <vt:variant>
        <vt:i4>5</vt:i4>
      </vt:variant>
      <vt:variant>
        <vt:lpwstr>mailto:Tristan.Melhuish@foodstandards.gov.au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melhut</dc:creator>
  <cp:keywords>[SEC=OFFICIAL]</cp:keywords>
  <cp:lastModifiedBy>Sally Ronaldson</cp:lastModifiedBy>
  <cp:revision>6</cp:revision>
  <cp:lastPrinted>2023-07-04T22:41:00Z</cp:lastPrinted>
  <dcterms:created xsi:type="dcterms:W3CDTF">2023-07-04T22:12:00Z</dcterms:created>
  <dcterms:modified xsi:type="dcterms:W3CDTF">2023-07-04T22:41:00Z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5" name="bjDocumentLabelXML-0">
    <vt:lpwstr>ames.com/2008/01/sie/internal/label"&gt;&lt;element uid="dd6c74cc-0de9-4a0a-85ef-439e2ceecf74" value="" /&gt;&lt;/sisl&gt;</vt:lpwstr>
  </property>
  <property fmtid="{D5CDD505-2E9C-101B-9397-08002B2CF9AE}" pid="6" name="bjDocumentSecurityLabel">
    <vt:lpwstr>OFFICIAL</vt:lpwstr>
  </property>
  <property fmtid="{D5CDD505-2E9C-101B-9397-08002B2CF9AE}" pid="7" name="bjHeaderBothDocProperty">
    <vt:lpwstr>OFFICIAL_x000d_
 </vt:lpwstr>
  </property>
  <property fmtid="{D5CDD505-2E9C-101B-9397-08002B2CF9AE}" pid="8" name="bjHeaderFirstPageDocProperty">
    <vt:lpwstr>OFFICIAL_x000d_
 </vt:lpwstr>
  </property>
  <property fmtid="{D5CDD505-2E9C-101B-9397-08002B2CF9AE}" pid="9" name="bjHeaderEvenPageDocProperty">
    <vt:lpwstr>OFFICIAL_x000d_
 </vt:lpwstr>
  </property>
  <property fmtid="{D5CDD505-2E9C-101B-9397-08002B2CF9AE}" pid="10" name="bjFooterBothDocProperty">
    <vt:lpwstr>_x000d_
OFFICIAL </vt:lpwstr>
  </property>
  <property fmtid="{D5CDD505-2E9C-101B-9397-08002B2CF9AE}" pid="11" name="bjFooterFirstPageDocProperty">
    <vt:lpwstr>_x000d_
OFFICIAL </vt:lpwstr>
  </property>
  <property fmtid="{D5CDD505-2E9C-101B-9397-08002B2CF9AE}" pid="12" name="bjFooterEvenPageDocProperty">
    <vt:lpwstr>_x000d_
OFFICIAL </vt:lpwstr>
  </property>
  <property fmtid="{D5CDD505-2E9C-101B-9397-08002B2CF9AE}" pid="13" name="ContentTypeId">
    <vt:lpwstr>0x010100CB2FFA9FD6109347A9495CD5860AFAE6</vt:lpwstr>
  </property>
  <property fmtid="{D5CDD505-2E9C-101B-9397-08002B2CF9AE}" pid="14" name="pd3a3559ef84480a8025c4c7bb6e6dee">
    <vt:lpwstr/>
  </property>
  <property fmtid="{D5CDD505-2E9C-101B-9397-08002B2CF9AE}" pid="15" name="h46016694f704d158a57d0b5238c000e">
    <vt:lpwstr/>
  </property>
  <property fmtid="{D5CDD505-2E9C-101B-9397-08002B2CF9AE}" pid="16" name="Data_x0020_Privacy">
    <vt:lpwstr/>
  </property>
  <property fmtid="{D5CDD505-2E9C-101B-9397-08002B2CF9AE}" pid="17" name="BCS">
    <vt:lpwstr>2;#FOOD STANDARDS:Evaluation|43cb9915-dbd2-4e45-b39d-7bc5c58c72da</vt:lpwstr>
  </property>
  <property fmtid="{D5CDD505-2E9C-101B-9397-08002B2CF9AE}" pid="18" name="Access">
    <vt:lpwstr/>
  </property>
  <property fmtid="{D5CDD505-2E9C-101B-9397-08002B2CF9AE}" pid="19" name="Classification">
    <vt:lpwstr>1;#OFFICIAL|3776503d-ed4e-4d70-8dfd-8e17b238523b</vt:lpwstr>
  </property>
  <property fmtid="{D5CDD505-2E9C-101B-9397-08002B2CF9AE}" pid="20" name="Data_x0020_Category">
    <vt:lpwstr/>
  </property>
  <property fmtid="{D5CDD505-2E9C-101B-9397-08002B2CF9AE}" pid="21" name="Data_x0020_Accessibility">
    <vt:lpwstr/>
  </property>
  <property fmtid="{D5CDD505-2E9C-101B-9397-08002B2CF9AE}" pid="22" name="o2e94e0b7bb742308b3aec7384781dc0">
    <vt:lpwstr/>
  </property>
  <property fmtid="{D5CDD505-2E9C-101B-9397-08002B2CF9AE}" pid="23" name="Data Privacy">
    <vt:lpwstr/>
  </property>
  <property fmtid="{D5CDD505-2E9C-101B-9397-08002B2CF9AE}" pid="24" name="Data Accessibility">
    <vt:lpwstr/>
  </property>
  <property fmtid="{D5CDD505-2E9C-101B-9397-08002B2CF9AE}" pid="25" name="Data Category">
    <vt:lpwstr/>
  </property>
  <property fmtid="{D5CDD505-2E9C-101B-9397-08002B2CF9AE}" pid="26" name="PM_Namespace">
    <vt:lpwstr>gov.au</vt:lpwstr>
  </property>
  <property fmtid="{D5CDD505-2E9C-101B-9397-08002B2CF9AE}" pid="27" name="PM_Caveats_Count">
    <vt:lpwstr>0</vt:lpwstr>
  </property>
  <property fmtid="{D5CDD505-2E9C-101B-9397-08002B2CF9AE}" pid="28" name="PM_Version">
    <vt:lpwstr>2018.4</vt:lpwstr>
  </property>
  <property fmtid="{D5CDD505-2E9C-101B-9397-08002B2CF9AE}" pid="29" name="PM_Note">
    <vt:lpwstr/>
  </property>
  <property fmtid="{D5CDD505-2E9C-101B-9397-08002B2CF9AE}" pid="30" name="PM_Qualifier">
    <vt:lpwstr/>
  </property>
  <property fmtid="{D5CDD505-2E9C-101B-9397-08002B2CF9AE}" pid="31" name="PM_SecurityClassification">
    <vt:lpwstr>OFFICIAL</vt:lpwstr>
  </property>
  <property fmtid="{D5CDD505-2E9C-101B-9397-08002B2CF9AE}" pid="32" name="PM_ProtectiveMarkingValue_Header">
    <vt:lpwstr>OFFICIAL</vt:lpwstr>
  </property>
  <property fmtid="{D5CDD505-2E9C-101B-9397-08002B2CF9AE}" pid="33" name="PM_OriginationTimeStamp">
    <vt:lpwstr>2023-04-19T05:52:58Z</vt:lpwstr>
  </property>
  <property fmtid="{D5CDD505-2E9C-101B-9397-08002B2CF9AE}" pid="34" name="PM_Markers">
    <vt:lpwstr/>
  </property>
  <property fmtid="{D5CDD505-2E9C-101B-9397-08002B2CF9AE}" pid="35" name="PM_InsertionValue">
    <vt:lpwstr>OFFICIAL</vt:lpwstr>
  </property>
  <property fmtid="{D5CDD505-2E9C-101B-9397-08002B2CF9AE}" pid="36" name="PM_DisplayValueSecClassificationWithQualifier">
    <vt:lpwstr>OFFICIAL</vt:lpwstr>
  </property>
  <property fmtid="{D5CDD505-2E9C-101B-9397-08002B2CF9AE}" pid="37" name="PM_Originating_FileId">
    <vt:lpwstr>5EC0DCEA8D9D481499A85D9A61CFBD7B</vt:lpwstr>
  </property>
  <property fmtid="{D5CDD505-2E9C-101B-9397-08002B2CF9AE}" pid="38" name="PM_ProtectiveMarkingValue_Footer">
    <vt:lpwstr>OFFICIAL</vt:lpwstr>
  </property>
  <property fmtid="{D5CDD505-2E9C-101B-9397-08002B2CF9AE}" pid="39" name="PM_ProtectiveMarkingImage_Header">
    <vt:lpwstr>C:\Program Files\Common Files\janusNET Shared\janusSEAL\Images\DocumentSlashBlue.png</vt:lpwstr>
  </property>
  <property fmtid="{D5CDD505-2E9C-101B-9397-08002B2CF9AE}" pid="40" name="PM_ProtectiveMarkingImage_Footer">
    <vt:lpwstr>C:\Program Files\Common Files\janusNET Shared\janusSEAL\Images\DocumentSlashBlue.png</vt:lpwstr>
  </property>
  <property fmtid="{D5CDD505-2E9C-101B-9397-08002B2CF9AE}" pid="41" name="PM_Display">
    <vt:lpwstr>OFFICIAL</vt:lpwstr>
  </property>
  <property fmtid="{D5CDD505-2E9C-101B-9397-08002B2CF9AE}" pid="42" name="PM_OriginatorDomainName_SHA256">
    <vt:lpwstr>1728E66681E435764AE865ABE664C38F2A2F6D4B1DC4AC4803028F4FC406745D</vt:lpwstr>
  </property>
  <property fmtid="{D5CDD505-2E9C-101B-9397-08002B2CF9AE}" pid="43" name="PMUuid">
    <vt:lpwstr>v=2022.2;d=gov.au;g=46DD6D7C-8107-577B-BC6E-F348953B2E44</vt:lpwstr>
  </property>
  <property fmtid="{D5CDD505-2E9C-101B-9397-08002B2CF9AE}" pid="44" name="PM_Hash_Version">
    <vt:lpwstr>2022.1</vt:lpwstr>
  </property>
  <property fmtid="{D5CDD505-2E9C-101B-9397-08002B2CF9AE}" pid="45" name="PM_SecurityClassification_Prev">
    <vt:lpwstr>OFFICIAL</vt:lpwstr>
  </property>
  <property fmtid="{D5CDD505-2E9C-101B-9397-08002B2CF9AE}" pid="46" name="PM_Qualifier_Prev">
    <vt:lpwstr/>
  </property>
  <property fmtid="{D5CDD505-2E9C-101B-9397-08002B2CF9AE}" pid="47" name="PM_Originator_Hash_SHA1">
    <vt:lpwstr>302BDBAD982F50293CEAD423BE77B1CA40A20CFD</vt:lpwstr>
  </property>
  <property fmtid="{D5CDD505-2E9C-101B-9397-08002B2CF9AE}" pid="48" name="PM_OriginatorUserAccountName_SHA256">
    <vt:lpwstr>04BEB04951CF9C0309220DC261A43CF887B145345D33A4BC1A2FC1C39C61A0F4</vt:lpwstr>
  </property>
  <property fmtid="{D5CDD505-2E9C-101B-9397-08002B2CF9AE}" pid="49" name="PMHMAC">
    <vt:lpwstr>v=2022.1;a=SHA256;h=32E5A58851EA5997A30F1C99DA898A4B48FCC678DD0FF1E45F0A72BF828CA34F</vt:lpwstr>
  </property>
  <property fmtid="{D5CDD505-2E9C-101B-9397-08002B2CF9AE}" pid="50" name="PM_Hash_Salt_Prev">
    <vt:lpwstr>8F7EDF109178DF83C3E22BC1A60F5302</vt:lpwstr>
  </property>
  <property fmtid="{D5CDD505-2E9C-101B-9397-08002B2CF9AE}" pid="51" name="PM_Hash_Salt">
    <vt:lpwstr>0B71A0ECA46EAAD497C7790A33E5D2D9</vt:lpwstr>
  </property>
  <property fmtid="{D5CDD505-2E9C-101B-9397-08002B2CF9AE}" pid="52" name="PM_Hash_SHA1">
    <vt:lpwstr>417A95CC236B386BAFCEDB9AD130F5B7C7DD0904</vt:lpwstr>
  </property>
</Properties>
</file>